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i w:val="0"/>
          <w:color w:val="1F4D78"/>
          <w:sz w:val="40"/>
        </w:rPr>
        <w:t>CASO DISNEYLAND PARIS</w:t>
      </w:r>
    </w:p>
    <w:p>
      <w:pPr>
        <w:spacing w:after="280"/>
        <w:jc w:val="center"/>
      </w:pPr>
      <w:r>
        <w:rPr>
          <w:rFonts w:ascii="Calibri" w:hAnsi="Calibri"/>
          <w:b w:val="0"/>
          <w:i w:val="0"/>
          <w:color w:val="595959"/>
          <w:sz w:val="22"/>
        </w:rPr>
        <w:t>Cuadro de análisis y respuestas para la sustentación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80" w:line="269" w:lineRule="auto"/>
            </w:pPr>
            <w:r>
              <w:rPr>
                <w:rFonts w:ascii="Calibri" w:hAnsi="Calibri"/>
                <w:b/>
                <w:i w:val="0"/>
                <w:color w:val="1F3A5F"/>
                <w:sz w:val="21"/>
              </w:rPr>
              <w:t>Idea central: Disney debe crecer con una lógica de cartera integrada: proteger el parque como motor de demanda y marca, mientras desarrolla Val d’Europe por etapas, con adaptación local y disciplina financiera.</w:t>
            </w:r>
          </w:p>
        </w:tc>
      </w:tr>
    </w:tbl>
    <w:p>
      <w:pPr>
        <w:spacing w:after="40"/>
      </w:pPr>
    </w:p>
    <w:p>
      <w:r>
        <w:rPr>
          <w:b/>
        </w:rPr>
        <w:t>Preguntas y respuestas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2550"/>
        <w:gridCol w:w="4350"/>
        <w:gridCol w:w="2460"/>
      </w:tblGrid>
      <w:tr>
        <w:trPr>
          <w:tblHeader w:val="true"/>
        </w:trPr>
        <w:tc>
          <w:tcPr>
            <w:tcW w:type="dxa" w:w="2550"/>
            <w:tcMar>
              <w:top w:w="100" w:type="dxa"/>
              <w:start w:w="140" w:type="dxa"/>
              <w:bottom w:w="100" w:type="dxa"/>
              <w:end w:w="140" w:type="dxa"/>
            </w:tcMar>
            <w:shd w:fill="1F4D78"/>
            <w:vAlign w:val="center"/>
          </w:tcPr>
          <w:p>
            <w:pPr>
              <w:spacing w:after="80" w:line="269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Pregunta</w:t>
            </w:r>
          </w:p>
        </w:tc>
        <w:tc>
          <w:tcPr>
            <w:tcW w:type="dxa" w:w="4350"/>
            <w:tcMar>
              <w:top w:w="100" w:type="dxa"/>
              <w:start w:w="140" w:type="dxa"/>
              <w:bottom w:w="100" w:type="dxa"/>
              <w:end w:w="140" w:type="dxa"/>
            </w:tcMar>
            <w:shd w:fill="1F4D78"/>
            <w:vAlign w:val="center"/>
          </w:tcPr>
          <w:p>
            <w:pPr>
              <w:spacing w:after="80" w:line="269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Respuesta analítica</w:t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shd w:fill="1F4D78"/>
            <w:vAlign w:val="center"/>
          </w:tcPr>
          <w:p>
            <w:pPr>
              <w:spacing w:after="80" w:line="269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Implicación / recomendación</w:t>
            </w:r>
          </w:p>
        </w:tc>
      </w:tr>
      <w:tr>
        <w:tc>
          <w:tcPr>
            <w:tcW w:type="dxa" w:w="2550"/>
            <w:vAlign w:val="top"/>
            <w:shd w:fill="F2F4F7"/>
          </w:tcPr>
          <w:p>
            <w:pPr>
              <w:spacing w:after="8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¿Cómo describirían la gestión administrativa de Disney del parque temático de París, Fase III?</w:t>
            </w:r>
          </w:p>
        </w:tc>
        <w:tc>
          <w:tcPr>
            <w:tcW w:type="dxa" w:w="4350"/>
            <w:vAlign w:val="top"/>
          </w:tcPr>
          <w:p>
            <w:pPr>
              <w:spacing w:after="80" w:line="26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Es una gestión estratégica de transformación y de portafolio. Integra expansión de experiencias (Marvel, Frozen y The Lion King), renovación hotelera, tecnología y entretenimiento nocturno. Su fortaleza es coordinar marca, diseño, operación y experiencia del visitante. Requiere gobernanza de proyectos: control de presupuesto, cronogramas, capacidad instalada, calidad de servicio y coordinación con autoridades locales.</w:t>
            </w:r>
          </w:p>
        </w:tc>
        <w:tc>
          <w:tcPr>
            <w:tcW w:type="dxa" w:w="2460"/>
            <w:vAlign w:val="top"/>
          </w:tcPr>
          <w:p>
            <w:pPr>
              <w:spacing w:after="80" w:line="26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Gestionar por etapas y con tableros de control: demanda, rentabilidad de cada inversión, satisfacción del visitante, avances de obra y efectos sobre el destino.</w:t>
            </w:r>
          </w:p>
        </w:tc>
      </w:tr>
      <w:tr>
        <w:tc>
          <w:tcPr>
            <w:tcW w:type="dxa" w:w="2550"/>
            <w:vAlign w:val="top"/>
            <w:shd w:fill="F2F4F7"/>
          </w:tcPr>
          <w:p>
            <w:pPr>
              <w:spacing w:after="8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¿Cómo Disney debería administrar y priorizar la siguiente fase de crecimiento, tanto para el parque temático como para Val d’Europe?</w:t>
            </w:r>
          </w:p>
        </w:tc>
        <w:tc>
          <w:tcPr>
            <w:tcW w:type="dxa" w:w="4350"/>
            <w:vAlign w:val="top"/>
          </w:tcPr>
          <w:p>
            <w:pPr>
              <w:spacing w:after="80" w:line="26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Debe aplicar una estrategia equilibrada, sin elegir de forma excluyente entre parque y Val d’Europe. El parque genera marca, visitantes y gasto turístico; Val d’Europe diversifica ingresos mediante comercio, oficinas, vivienda y hoteles.</w:t>
            </w:r>
          </w:p>
        </w:tc>
        <w:tc>
          <w:tcPr>
            <w:tcW w:type="dxa" w:w="2460"/>
            <w:vAlign w:val="top"/>
          </w:tcPr>
          <w:p>
            <w:pPr>
              <w:spacing w:after="80" w:line="26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Priorizar primero inversiones del parque que sostengan diferenciación, demanda y retorno. Desarrollar Val d’Europe escalonadamente, condicionado a demanda comprobada. Crear una cartera conjunta Disney-autoridades que evalúe retorno, empleo, movilidad, sostenibilidad y riesgo.</w:t>
            </w:r>
          </w:p>
        </w:tc>
      </w:tr>
      <w:tr>
        <w:tc>
          <w:tcPr>
            <w:tcW w:type="dxa" w:w="2550"/>
            <w:vAlign w:val="top"/>
            <w:shd w:fill="F2F4F7"/>
          </w:tcPr>
          <w:p>
            <w:pPr>
              <w:spacing w:after="8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¿Qué tipo de incertidumbre afronta Disney al construir la Fase III y continuar el desarrollo de Val d’Europe?</w:t>
            </w:r>
          </w:p>
        </w:tc>
        <w:tc>
          <w:tcPr>
            <w:tcW w:type="dxa" w:w="4350"/>
            <w:vAlign w:val="top"/>
          </w:tcPr>
          <w:p>
            <w:pPr>
              <w:spacing w:after="80" w:line="26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Afronta incertidumbre de mercado (demanda turística, gasto y preferencia por franquicias), macroeconómica y financiera (inflación, tasas, tipo de cambio y costos de obra), operativa y regulatoria (plazos, permisos, transporte y ambiente), y sociocultural-reputacional (aceptación local y coherencia de marca).</w:t>
            </w:r>
          </w:p>
        </w:tc>
        <w:tc>
          <w:tcPr>
            <w:tcW w:type="dxa" w:w="2460"/>
            <w:vAlign w:val="top"/>
          </w:tcPr>
          <w:p>
            <w:pPr>
              <w:spacing w:after="80" w:line="26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Usar escenarios conservador, base y expansivo; establecer inversiones por hitos, reservas de contingencia, pilotos de demanda y alertas tempranas para corregir antes de comprometer más capital.</w:t>
            </w:r>
          </w:p>
        </w:tc>
      </w:tr>
      <w:tr>
        <w:tc>
          <w:tcPr>
            <w:tcW w:type="dxa" w:w="2550"/>
            <w:vAlign w:val="top"/>
            <w:shd w:fill="F2F4F7"/>
          </w:tcPr>
          <w:p>
            <w:pPr>
              <w:spacing w:after="8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¿Qué aprendizajes de la primera fase de Disneyland Paris debería considerar la compañía al desarrollar la Fase III y la región Val d’Europe?</w:t>
            </w:r>
          </w:p>
        </w:tc>
        <w:tc>
          <w:tcPr>
            <w:tcW w:type="dxa" w:w="4350"/>
            <w:vAlign w:val="top"/>
          </w:tcPr>
          <w:p>
            <w:pPr>
              <w:spacing w:after="80" w:line="26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La experiencia inicial mostró que no se debe trasladar sin ajuste el modelo estadounidense. La adaptación cultural, gastronómica, arquitectónica y laboral fue decisiva. También evidenció que las previsiones de asistencia, ocupación y gasto pueden ser demasiado optimistas, y que deuda y sobrecostos ponen en riesgo el proyecto.</w:t>
            </w:r>
          </w:p>
        </w:tc>
        <w:tc>
          <w:tcPr>
            <w:tcW w:type="dxa" w:w="2460"/>
            <w:vAlign w:val="top"/>
          </w:tcPr>
          <w:p>
            <w:pPr>
              <w:spacing w:after="80" w:line="269" w:lineRule="auto"/>
            </w:pPr>
            <w:r>
              <w:rPr>
                <w:rFonts w:ascii="Calibri" w:hAnsi="Calibri"/>
                <w:b w:val="0"/>
                <w:i w:val="0"/>
                <w:sz w:val="19"/>
              </w:rPr>
              <w:t>Validar supuestos con datos locales; proteger liquidez; controlar costos y plazos; fortalecer relaciones con empleados, comunidades y autoridades; y gestionar parque, transporte, hoteles, comercio y vivienda como un ecosistema que multiplica valor.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2E74B5"/>
          <w:sz w:val="26"/>
        </w:rPr>
        <w:t>Claves para la sustentación oral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0"/>
        </w:rPr>
        <w:t>Enfatizar el equilibrio entre crecimiento del parque y diversificación de Val d’Europe.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0"/>
        </w:rPr>
        <w:t>Relacionar la Fase III con gestión de proyectos, gestión de riesgos y creación de valor de largo plazo.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sz w:val="20"/>
        </w:rPr>
        <w:t>Sustentar cada recomendación con los errores iniciales: adaptación cultural insuficiente, demanda sobreestimada y presión financiera.</w:t>
      </w:r>
    </w:p>
    <w:p>
      <w:pPr>
        <w:spacing w:before="140"/>
      </w:pPr>
      <w:r>
        <w:rPr>
          <w:rFonts w:ascii="Calibri" w:hAnsi="Calibri"/>
          <w:b w:val="0"/>
          <w:i/>
          <w:color w:val="595959"/>
          <w:sz w:val="17"/>
        </w:rPr>
        <w:t>Base documental: Caso Disneyland Paris y diapositiva de preguntas de la Escuela de Postgrado UPC.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80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5959"/>
        <w:sz w:val="17"/>
      </w:rPr>
      <w:t>Caso Disneyland Paris | Cuadro de análisis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95959"/>
        <w:sz w:val="17"/>
      </w:rPr>
      <w:t>Dirección Estratégica y Gestión de Personas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