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620f0ff6d26b63932b48cab46d41b640978ede"/>
    <w:p>
      <w:pPr>
        <w:pStyle w:val="Heading1"/>
      </w:pPr>
      <w:r>
        <w:t xml:space="preserve">Próximos Passos para Consolidação Experimental do Paper (FGCS)</w:t>
      </w:r>
    </w:p>
    <w:bookmarkStart w:id="20" w:name="leitura-científica-do-resultado-obtido"/>
    <w:p>
      <w:pPr>
        <w:pStyle w:val="Heading2"/>
      </w:pPr>
      <w:r>
        <w:t xml:space="preserve">1. Leitura Científica do Resultado Obtido</w:t>
      </w:r>
    </w:p>
    <w:p>
      <w:pPr>
        <w:pStyle w:val="FirstParagraph"/>
      </w:pPr>
      <w:r>
        <w:t xml:space="preserve">O novo experimento deixou de ser apenas uma comparação arquitetural e passou a responder uma questão mecanística central do artigo:</w:t>
      </w:r>
    </w:p>
    <w:p>
      <w:pPr>
        <w:pStyle w:val="BlockText"/>
      </w:pPr>
      <w:r>
        <w:t xml:space="preserve">O ganho obtido pelo AF-TKD decorre de maior capacidade paramétrica do professor ou da estrutura temporal bidirecional utilizada durante o treinamento?</w:t>
      </w:r>
    </w:p>
    <w:p>
      <w:pPr>
        <w:pStyle w:val="FirstParagraph"/>
      </w:pPr>
      <w:r>
        <w:t xml:space="preserve">Os resultados indicam que o fator dominante é o acesso temporal bidirecional ao contexto futuro, e não apenas o aumento de capacidade do modelo.</w:t>
      </w:r>
    </w:p>
    <w:p>
      <w:pPr>
        <w:pStyle w:val="BodyText"/>
      </w:pPr>
      <w:r>
        <w:t xml:space="preserve">Isso transforma a contribuição científica do paper.</w:t>
      </w:r>
    </w:p>
    <w:p>
      <w:pPr>
        <w:pStyle w:val="BodyText"/>
      </w:pPr>
      <w:r>
        <w:t xml:space="preserve">Antes, o artigo comunicava:</w:t>
      </w:r>
    </w:p>
    <w:p>
      <w:pPr>
        <w:pStyle w:val="Compact"/>
        <w:numPr>
          <w:ilvl w:val="0"/>
          <w:numId w:val="1001"/>
        </w:numPr>
      </w:pPr>
      <w:r>
        <w:t xml:space="preserve">AF-TKD melhora modelos causais.</w:t>
      </w:r>
    </w:p>
    <w:p>
      <w:pPr>
        <w:pStyle w:val="FirstParagraph"/>
      </w:pPr>
      <w:r>
        <w:t xml:space="preserve">Agora, o artigo comunica:</w:t>
      </w:r>
    </w:p>
    <w:p>
      <w:pPr>
        <w:pStyle w:val="Compact"/>
        <w:numPr>
          <w:ilvl w:val="0"/>
          <w:numId w:val="1002"/>
        </w:numPr>
      </w:pPr>
      <w:r>
        <w:t xml:space="preserve">supervisão temporal bidirecional transfere sensibilidade a padrões precursores;</w:t>
      </w:r>
    </w:p>
    <w:p>
      <w:pPr>
        <w:pStyle w:val="Compact"/>
        <w:numPr>
          <w:ilvl w:val="0"/>
          <w:numId w:val="1002"/>
        </w:numPr>
      </w:pPr>
      <w:r>
        <w:t xml:space="preserve">essa sensibilidade reorganiza a calibração temporal;</w:t>
      </w:r>
    </w:p>
    <w:p>
      <w:pPr>
        <w:pStyle w:val="Compact"/>
        <w:numPr>
          <w:ilvl w:val="0"/>
          <w:numId w:val="1002"/>
        </w:numPr>
      </w:pPr>
      <w:r>
        <w:t xml:space="preserve">a calibração transforma a entropia em um sinal discriminante;</w:t>
      </w:r>
    </w:p>
    <w:p>
      <w:pPr>
        <w:pStyle w:val="Compact"/>
        <w:numPr>
          <w:ilvl w:val="0"/>
          <w:numId w:val="1002"/>
        </w:numPr>
      </w:pPr>
      <w:r>
        <w:t xml:space="preserve">o gating passa então a operar de maneira segura.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nterpretação-científica-dos-resultados"/>
    <w:p>
      <w:pPr>
        <w:pStyle w:val="Heading1"/>
      </w:pPr>
      <w:r>
        <w:t xml:space="preserve">2. Interpretação Científica dos Resultados</w:t>
      </w:r>
    </w:p>
    <w:bookmarkStart w:id="22" w:name="resultado-central-observado"/>
    <w:p>
      <w:pPr>
        <w:pStyle w:val="Heading2"/>
      </w:pPr>
      <w:r>
        <w:t xml:space="preserve">2.1 Resultado central observado</w:t>
      </w:r>
    </w:p>
    <w:p>
      <w:pPr>
        <w:pStyle w:val="FirstParagraph"/>
      </w:pPr>
      <w:r>
        <w:t xml:space="preserve">Os experimentos mostram que:</w:t>
      </w:r>
    </w:p>
    <w:p>
      <w:pPr>
        <w:pStyle w:val="Compact"/>
        <w:numPr>
          <w:ilvl w:val="0"/>
          <w:numId w:val="1003"/>
        </w:numPr>
      </w:pPr>
      <w:r>
        <w:t xml:space="preserve">o LSTM causal permanece leve e eficiente;</w:t>
      </w:r>
    </w:p>
    <w:p>
      <w:pPr>
        <w:pStyle w:val="Compact"/>
        <w:numPr>
          <w:ilvl w:val="0"/>
          <w:numId w:val="1003"/>
        </w:numPr>
      </w:pPr>
      <w:r>
        <w:t xml:space="preserve">o AF-TKD reduz drasticamente o FailRate;</w:t>
      </w:r>
    </w:p>
    <w:p>
      <w:pPr>
        <w:pStyle w:val="Compact"/>
        <w:numPr>
          <w:ilvl w:val="0"/>
          <w:numId w:val="1003"/>
        </w:numPr>
      </w:pPr>
      <w:r>
        <w:t xml:space="preserve">o ganho não depende exclusivamente da complexidade do professor;</w:t>
      </w:r>
    </w:p>
    <w:p>
      <w:pPr>
        <w:pStyle w:val="Compact"/>
        <w:numPr>
          <w:ilvl w:val="0"/>
          <w:numId w:val="1003"/>
        </w:numPr>
      </w:pPr>
      <w:r>
        <w:t xml:space="preserve">professores bidirecionais recorrentes transferem antecipação temporal de forma mais estável.</w:t>
      </w:r>
    </w:p>
    <w:p>
      <w:pPr>
        <w:pStyle w:val="FirstParagraph"/>
      </w:pPr>
      <w:r>
        <w:t xml:space="preserve">A comparação:</w:t>
      </w:r>
    </w:p>
    <w:p>
      <w:pPr>
        <w:pStyle w:val="Compact"/>
        <w:numPr>
          <w:ilvl w:val="0"/>
          <w:numId w:val="1004"/>
        </w:numPr>
      </w:pPr>
      <w:r>
        <w:t xml:space="preserve">BiLSTM → LSTM</w:t>
      </w:r>
    </w:p>
    <w:p>
      <w:pPr>
        <w:pStyle w:val="Compact"/>
        <w:numPr>
          <w:ilvl w:val="0"/>
          <w:numId w:val="1004"/>
        </w:numPr>
      </w:pPr>
      <w:r>
        <w:t xml:space="preserve">TransformerTeacher → LSTM</w:t>
      </w:r>
    </w:p>
    <w:p>
      <w:pPr>
        <w:pStyle w:val="FirstParagraph"/>
      </w:pPr>
      <w:r>
        <w:t xml:space="preserve">é particularmente importante porque isola:</w:t>
      </w:r>
    </w:p>
    <w:p>
      <w:pPr>
        <w:pStyle w:val="Compact"/>
        <w:numPr>
          <w:ilvl w:val="0"/>
          <w:numId w:val="1005"/>
        </w:numPr>
      </w:pPr>
      <w:r>
        <w:t xml:space="preserve">viés temporal estrutural;</w:t>
      </w:r>
    </w:p>
    <w:p>
      <w:pPr>
        <w:pStyle w:val="Compact"/>
        <w:numPr>
          <w:ilvl w:val="0"/>
          <w:numId w:val="1005"/>
        </w:numPr>
      </w:pPr>
      <w:r>
        <w:t xml:space="preserve">versus capacidade paramétrica.</w:t>
      </w:r>
    </w:p>
    <w:p>
      <w:r>
        <w:pict>
          <v:rect style="width:0;height:1.5pt" o:hralign="center" o:hrstd="t" o:hr="t"/>
        </w:pict>
      </w:r>
    </w:p>
    <w:bookmarkEnd w:id="22"/>
    <w:bookmarkStart w:id="23" w:name="descoberta-mais-importante"/>
    <w:p>
      <w:pPr>
        <w:pStyle w:val="Heading2"/>
      </w:pPr>
      <w:r>
        <w:t xml:space="preserve">2.2 Descoberta mais importante</w:t>
      </w:r>
    </w:p>
    <w:p>
      <w:pPr>
        <w:pStyle w:val="FirstParagraph"/>
      </w:pPr>
      <w:r>
        <w:t xml:space="preserve">O TransformerTeacher não dominou consistentemente o BiLSTM como professor temporal.</w:t>
      </w:r>
    </w:p>
    <w:p>
      <w:pPr>
        <w:pStyle w:val="BodyText"/>
      </w:pPr>
      <w:r>
        <w:t xml:space="preserve">Isso sugere que:</w:t>
      </w:r>
    </w:p>
    <w:p>
      <w:pPr>
        <w:pStyle w:val="Compact"/>
        <w:numPr>
          <w:ilvl w:val="0"/>
          <w:numId w:val="1006"/>
        </w:numPr>
      </w:pPr>
      <w:r>
        <w:t xml:space="preserve">recorrência temporal estruturada pode ser mais adequada para transferência de sinais precursores;</w:t>
      </w:r>
    </w:p>
    <w:p>
      <w:pPr>
        <w:pStyle w:val="Compact"/>
        <w:numPr>
          <w:ilvl w:val="0"/>
          <w:numId w:val="1006"/>
        </w:numPr>
      </w:pPr>
      <w:r>
        <w:t xml:space="preserve">especialmente em cenários onset-aware;</w:t>
      </w:r>
    </w:p>
    <w:p>
      <w:pPr>
        <w:pStyle w:val="Compact"/>
        <w:numPr>
          <w:ilvl w:val="0"/>
          <w:numId w:val="1006"/>
        </w:numPr>
      </w:pPr>
      <w:r>
        <w:t xml:space="preserve">sob inferência causal streaming.</w:t>
      </w:r>
    </w:p>
    <w:p>
      <w:pPr>
        <w:pStyle w:val="FirstParagraph"/>
      </w:pPr>
      <w:r>
        <w:t xml:space="preserve">Essa observação é cientificamente relevante.</w:t>
      </w:r>
    </w:p>
    <w:p>
      <w:r>
        <w:pict>
          <v:rect style="width:0;height:1.5pt" o:hralign="center" o:hrstd="t" o:hr="t"/>
        </w:pict>
      </w:r>
    </w:p>
    <w:bookmarkEnd w:id="23"/>
    <w:bookmarkStart w:id="24" w:name="o-que-o-paper-passa-a-defender"/>
    <w:p>
      <w:pPr>
        <w:pStyle w:val="Heading2"/>
      </w:pPr>
      <w:r>
        <w:t xml:space="preserve">2.3 O que o paper passa a defender</w:t>
      </w:r>
    </w:p>
    <w:p>
      <w:pPr>
        <w:pStyle w:val="FirstParagraph"/>
      </w:pPr>
      <w:r>
        <w:t xml:space="preserve">O paper agora deve comunicar explicitamente:</w:t>
      </w:r>
    </w:p>
    <w:p>
      <w:pPr>
        <w:pStyle w:val="Compact"/>
        <w:numPr>
          <w:ilvl w:val="0"/>
          <w:numId w:val="1007"/>
        </w:numPr>
      </w:pPr>
      <w:r>
        <w:t xml:space="preserve">modelos causais leves são naturalmente reativos;</w:t>
      </w:r>
    </w:p>
    <w:p>
      <w:pPr>
        <w:pStyle w:val="Compact"/>
        <w:numPr>
          <w:ilvl w:val="0"/>
          <w:numId w:val="1007"/>
        </w:numPr>
      </w:pPr>
      <w:r>
        <w:t xml:space="preserve">supervisão bidirecional transfere informação preditiva antecipatória;</w:t>
      </w:r>
    </w:p>
    <w:p>
      <w:pPr>
        <w:pStyle w:val="Compact"/>
        <w:numPr>
          <w:ilvl w:val="0"/>
          <w:numId w:val="1007"/>
        </w:numPr>
      </w:pPr>
      <w:r>
        <w:t xml:space="preserve">isso reorganiza a calibração probabilística;</w:t>
      </w:r>
    </w:p>
    <w:p>
      <w:pPr>
        <w:pStyle w:val="Compact"/>
        <w:numPr>
          <w:ilvl w:val="0"/>
          <w:numId w:val="1007"/>
        </w:numPr>
      </w:pPr>
      <w:r>
        <w:t xml:space="preserve">a entropia passa a distinguir estados estáveis de estados emergentes;</w:t>
      </w:r>
    </w:p>
    <w:p>
      <w:pPr>
        <w:pStyle w:val="Compact"/>
        <w:numPr>
          <w:ilvl w:val="0"/>
          <w:numId w:val="1007"/>
        </w:numPr>
      </w:pPr>
      <w:r>
        <w:t xml:space="preserve">o gating pode então reduzir custo sem degradar cobertura.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588cbd621208ea112bd91fd71cfe9c7151bf57f"/>
    <w:p>
      <w:pPr>
        <w:pStyle w:val="Heading1"/>
      </w:pPr>
      <w:r>
        <w:t xml:space="preserve">3. Reestruturação Recomendada da Avaliação Experimental</w:t>
      </w:r>
    </w:p>
    <w:p>
      <w:pPr>
        <w:pStyle w:val="FirstParagraph"/>
      </w:pPr>
      <w:r>
        <w:t xml:space="preserve">A avaliação experimental deve passar a ser organizada em torno da seguinte cadeia causal:</w:t>
      </w:r>
    </w:p>
    <w:p>
      <w:pPr>
        <w:pStyle w:val="SourceCode"/>
      </w:pPr>
      <w:r>
        <w:rPr>
          <w:rStyle w:val="VerbatimChar"/>
        </w:rPr>
        <w:t xml:space="preserve">supervisão onset-aware</w:t>
      </w:r>
      <w:r>
        <w:br/>
      </w:r>
      <w:r>
        <w:rPr>
          <w:rStyle w:val="VerbatimChar"/>
        </w:rPr>
        <w:t xml:space="preserve">→ calibração temporal</w:t>
      </w:r>
      <w:r>
        <w:br/>
      </w:r>
      <w:r>
        <w:rPr>
          <w:rStyle w:val="VerbatimChar"/>
        </w:rPr>
        <w:t xml:space="preserve">→ entropia discriminante</w:t>
      </w:r>
      <w:r>
        <w:br/>
      </w:r>
      <w:r>
        <w:rPr>
          <w:rStyle w:val="VerbatimChar"/>
        </w:rPr>
        <w:t xml:space="preserve">→ gating seguro</w:t>
      </w:r>
      <w:r>
        <w:br/>
      </w:r>
      <w:r>
        <w:rPr>
          <w:rStyle w:val="VerbatimChar"/>
        </w:rPr>
        <w:t xml:space="preserve">→ inferência causal eficiente</w:t>
      </w:r>
    </w:p>
    <w:p>
      <w:pPr>
        <w:pStyle w:val="FirstParagraph"/>
      </w:pPr>
      <w:r>
        <w:t xml:space="preserve">Tudo na avaliação deve reforçar essa cadeia.</w:t>
      </w:r>
    </w:p>
    <w:p>
      <w:r>
        <w:pict>
          <v:rect style="width:0;height:1.5pt" o:hralign="center" o:hrstd="t" o:hr="t"/>
        </w:pict>
      </w:r>
    </w:p>
    <w:bookmarkEnd w:id="26"/>
    <w:bookmarkStart w:id="33" w:name="próximas-figuras-obrigatórias"/>
    <w:p>
      <w:pPr>
        <w:pStyle w:val="Heading1"/>
      </w:pPr>
      <w:r>
        <w:t xml:space="preserve">4. Próximas Figuras Obrigatórias</w:t>
      </w:r>
    </w:p>
    <w:bookmarkStart w:id="32" w:name="X749bfcfb5c6043487b25b63a773d97bebb2ece6"/>
    <w:p>
      <w:pPr>
        <w:pStyle w:val="Heading2"/>
      </w:pPr>
      <w:r>
        <w:t xml:space="preserve">Figura 1 — Comparação Multi-Seed (já parcialmente pronta)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Mostrar:</w:t>
      </w:r>
    </w:p>
    <w:p>
      <w:pPr>
        <w:pStyle w:val="Compact"/>
        <w:numPr>
          <w:ilvl w:val="0"/>
          <w:numId w:val="1008"/>
        </w:numPr>
      </w:pPr>
      <w:r>
        <w:t xml:space="preserve">F1;</w:t>
      </w:r>
    </w:p>
    <w:p>
      <w:pPr>
        <w:pStyle w:val="Compact"/>
        <w:numPr>
          <w:ilvl w:val="0"/>
          <w:numId w:val="1008"/>
        </w:numPr>
      </w:pPr>
      <w:r>
        <w:t xml:space="preserve">FailRate;</w:t>
      </w:r>
    </w:p>
    <w:p>
      <w:pPr>
        <w:pStyle w:val="Compact"/>
        <w:numPr>
          <w:ilvl w:val="0"/>
          <w:numId w:val="1008"/>
        </w:numPr>
      </w:pPr>
      <w:r>
        <w:t xml:space="preserve">TTD_eff;</w:t>
      </w:r>
    </w:p>
    <w:p>
      <w:pPr>
        <w:pStyle w:val="Compact"/>
        <w:numPr>
          <w:ilvl w:val="0"/>
          <w:numId w:val="1008"/>
        </w:numPr>
      </w:pPr>
      <w:r>
        <w:t xml:space="preserve">estabilidade multi-seed.</w:t>
      </w:r>
    </w:p>
    <w:bookmarkStart w:id="27" w:name="ajustes-necessários"/>
    <w:p>
      <w:pPr>
        <w:pStyle w:val="Heading3"/>
      </w:pPr>
      <w:r>
        <w:t xml:space="preserve">Ajustes necessários</w:t>
      </w:r>
    </w:p>
    <w:bookmarkEnd w:id="27"/>
    <w:bookmarkStart w:id="28" w:name="painel-a-f1"/>
    <w:p>
      <w:pPr>
        <w:pStyle w:val="Heading3"/>
      </w:pPr>
      <w:r>
        <w:t xml:space="preserve">Painel A — F1</w:t>
      </w:r>
    </w:p>
    <w:p>
      <w:pPr>
        <w:pStyle w:val="FirstParagraph"/>
      </w:pPr>
      <w:r>
        <w:t xml:space="preserve">Manter.</w:t>
      </w:r>
    </w:p>
    <w:bookmarkEnd w:id="28"/>
    <w:bookmarkStart w:id="29" w:name="painel-b-failrate"/>
    <w:p>
      <w:pPr>
        <w:pStyle w:val="Heading3"/>
      </w:pPr>
      <w:r>
        <w:t xml:space="preserve">Painel B — FailRate</w:t>
      </w:r>
    </w:p>
    <w:p>
      <w:pPr>
        <w:pStyle w:val="FirstParagraph"/>
      </w:pPr>
      <w:r>
        <w:t xml:space="preserve">Adicionar:</w:t>
      </w:r>
    </w:p>
    <w:p>
      <w:pPr>
        <w:pStyle w:val="Compact"/>
        <w:numPr>
          <w:ilvl w:val="0"/>
          <w:numId w:val="1009"/>
        </w:numPr>
      </w:pPr>
      <w:r>
        <w:t xml:space="preserve">linha horizontal vermelha destacando FR=0.05;</w:t>
      </w:r>
    </w:p>
    <w:p>
      <w:pPr>
        <w:pStyle w:val="Compact"/>
        <w:numPr>
          <w:ilvl w:val="0"/>
          <w:numId w:val="1009"/>
        </w:numPr>
      </w:pPr>
      <w:r>
        <w:t xml:space="preserve">área sombreada indicando região operacional inválida.</w:t>
      </w:r>
    </w:p>
    <w:bookmarkEnd w:id="29"/>
    <w:bookmarkStart w:id="30" w:name="painel-c-ttd"/>
    <w:p>
      <w:pPr>
        <w:pStyle w:val="Heading3"/>
      </w:pPr>
      <w:r>
        <w:t xml:space="preserve">Painel C — TTD</w:t>
      </w:r>
    </w:p>
    <w:p>
      <w:pPr>
        <w:pStyle w:val="FirstParagraph"/>
      </w:pPr>
      <w:r>
        <w:t xml:space="preserve">Renomear:</w:t>
      </w:r>
    </w:p>
    <w:p>
      <w:pPr>
        <w:pStyle w:val="Compact"/>
        <w:numPr>
          <w:ilvl w:val="0"/>
          <w:numId w:val="1010"/>
        </w:numPr>
      </w:pPr>
      <w:r>
        <w:t xml:space="preserve">“TTD total”</w:t>
      </w:r>
    </w:p>
    <w:p>
      <w:pPr>
        <w:pStyle w:val="FirstParagraph"/>
      </w:pPr>
      <w:r>
        <w:t xml:space="preserve">para:</w:t>
      </w:r>
    </w:p>
    <w:p>
      <w:pPr>
        <w:numPr>
          <w:ilvl w:val="0"/>
          <w:numId w:val="1011"/>
        </w:numPr>
      </w:pPr>
      <w:r>
        <w:t xml:space="preserve">“TTD_eff”</w:t>
      </w:r>
      <w:r>
        <w:t xml:space="preserve"> </w:t>
      </w:r>
      <w:r>
        <w:t xml:space="preserve">ou</w:t>
      </w:r>
    </w:p>
    <w:p>
      <w:pPr>
        <w:numPr>
          <w:ilvl w:val="0"/>
          <w:numId w:val="1011"/>
        </w:numPr>
      </w:pPr>
      <w:r>
        <w:t xml:space="preserve">“Effective TTD”</w:t>
      </w:r>
      <w:r>
        <w:t xml:space="preserve">.</w:t>
      </w:r>
    </w:p>
    <w:bookmarkEnd w:id="30"/>
    <w:bookmarkStart w:id="31" w:name="texto-interpretativo-associado"/>
    <w:p>
      <w:pPr>
        <w:pStyle w:val="Heading3"/>
      </w:pPr>
      <w:r>
        <w:t xml:space="preserve">Texto interpretativo associado</w:t>
      </w:r>
    </w:p>
    <w:p>
      <w:pPr>
        <w:pStyle w:val="FirstParagraph"/>
      </w:pPr>
      <w:r>
        <w:t xml:space="preserve">A figura deve ser descrita como:</w:t>
      </w:r>
    </w:p>
    <w:p>
      <w:pPr>
        <w:pStyle w:val="BlockText"/>
      </w:pPr>
      <w:r>
        <w:t xml:space="preserve">evidência de que a supervisão bidirecional reduz falhas críticas sem exigir aumento proporcional de custo inferencial.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X8dc8bc0344d138f66419664d701d4044622dfad"/>
    <w:p>
      <w:pPr>
        <w:pStyle w:val="Heading1"/>
      </w:pPr>
      <w:r>
        <w:t xml:space="preserve">5. Figura Mais Importante do Paper (OBRIGATÓRIA)</w:t>
      </w:r>
    </w:p>
    <w:bookmarkStart w:id="34" w:name="figura-2-temporal-traces-frame-by-frame"/>
    <w:p>
      <w:pPr>
        <w:pStyle w:val="Heading2"/>
      </w:pPr>
      <w:r>
        <w:t xml:space="preserve">Figura 2 — Temporal Traces Frame-by-Frame</w:t>
      </w:r>
    </w:p>
    <w:p>
      <w:pPr>
        <w:pStyle w:val="FirstParagraph"/>
      </w:pPr>
      <w:r>
        <w:t xml:space="preserve">Essa provavelmente será a figura central do artigo.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Demonstrar mecanisticamente:</w:t>
      </w:r>
    </w:p>
    <w:p>
      <w:pPr>
        <w:pStyle w:val="Compact"/>
        <w:numPr>
          <w:ilvl w:val="0"/>
          <w:numId w:val="1012"/>
        </w:numPr>
      </w:pPr>
      <w:r>
        <w:t xml:space="preserve">como o AF-TKD reorganiza a distribuição temporal de confiança;</w:t>
      </w:r>
    </w:p>
    <w:p>
      <w:pPr>
        <w:pStyle w:val="Compact"/>
        <w:numPr>
          <w:ilvl w:val="0"/>
          <w:numId w:val="1012"/>
        </w:numPr>
      </w:pPr>
      <w:r>
        <w:t xml:space="preserve">como o gating passa a operar seletivamente;</w:t>
      </w:r>
    </w:p>
    <w:p>
      <w:pPr>
        <w:pStyle w:val="Compact"/>
        <w:numPr>
          <w:ilvl w:val="0"/>
          <w:numId w:val="1012"/>
        </w:numPr>
      </w:pPr>
      <w:r>
        <w:t xml:space="preserve">como o onset é antecipado.</w:t>
      </w:r>
    </w:p>
    <w:p>
      <w:r>
        <w:pict>
          <v:rect style="width:0;height:1.5pt" o:hralign="center" o:hrstd="t" o:hr="t"/>
        </w:pict>
      </w:r>
    </w:p>
    <w:bookmarkEnd w:id="34"/>
    <w:bookmarkStart w:id="38" w:name="estrutura-recomendada"/>
    <w:p>
      <w:pPr>
        <w:pStyle w:val="Heading2"/>
      </w:pPr>
      <w:r>
        <w:t xml:space="preserve">Estrutura Recomendada</w:t>
      </w:r>
    </w:p>
    <w:p>
      <w:pPr>
        <w:pStyle w:val="FirstParagraph"/>
      </w:pPr>
      <w:r>
        <w:t xml:space="preserve">Para um episódio progressivo e um abrupto:</w:t>
      </w:r>
    </w:p>
    <w:bookmarkStart w:id="35" w:name="linha-1"/>
    <w:p>
      <w:pPr>
        <w:pStyle w:val="Heading3"/>
      </w:pPr>
      <w:r>
        <w:t xml:space="preserve">Linha 1</w:t>
      </w:r>
    </w:p>
    <w:p>
      <w:pPr>
        <w:pStyle w:val="FirstParagraph"/>
      </w:pPr>
      <w:r>
        <w:t xml:space="preserve">Probabilidade p(t)</w:t>
      </w:r>
    </w:p>
    <w:p>
      <w:pPr>
        <w:pStyle w:val="BodyText"/>
      </w:pPr>
      <w:r>
        <w:t xml:space="preserve">Comparar:</w:t>
      </w:r>
    </w:p>
    <w:p>
      <w:pPr>
        <w:pStyle w:val="Compact"/>
        <w:numPr>
          <w:ilvl w:val="0"/>
          <w:numId w:val="1013"/>
        </w:numPr>
      </w:pPr>
      <w:r>
        <w:t xml:space="preserve">LSTM-Baseline;</w:t>
      </w:r>
    </w:p>
    <w:p>
      <w:pPr>
        <w:pStyle w:val="Compact"/>
        <w:numPr>
          <w:ilvl w:val="0"/>
          <w:numId w:val="1013"/>
        </w:numPr>
      </w:pPr>
      <w:r>
        <w:t xml:space="preserve">LSTM-AF-KD;</w:t>
      </w:r>
    </w:p>
    <w:p>
      <w:pPr>
        <w:pStyle w:val="Compact"/>
        <w:numPr>
          <w:ilvl w:val="0"/>
          <w:numId w:val="1013"/>
        </w:numPr>
      </w:pPr>
      <w:r>
        <w:t xml:space="preserve">LSTM-TransKD.</w:t>
      </w:r>
    </w:p>
    <w:p>
      <w:pPr>
        <w:pStyle w:val="FirstParagraph"/>
      </w:pPr>
      <w:r>
        <w:t xml:space="preserve">Adicionar:</w:t>
      </w:r>
    </w:p>
    <w:p>
      <w:pPr>
        <w:pStyle w:val="Compact"/>
        <w:numPr>
          <w:ilvl w:val="0"/>
          <w:numId w:val="1014"/>
        </w:numPr>
      </w:pPr>
      <w:r>
        <w:t xml:space="preserve">linha vertical em t0;</w:t>
      </w:r>
    </w:p>
    <w:p>
      <w:pPr>
        <w:pStyle w:val="Compact"/>
        <w:numPr>
          <w:ilvl w:val="0"/>
          <w:numId w:val="1014"/>
        </w:numPr>
      </w:pPr>
      <w:r>
        <w:t xml:space="preserve">região pré-onset sombreada.</w:t>
      </w:r>
    </w:p>
    <w:p>
      <w:r>
        <w:pict>
          <v:rect style="width:0;height:1.5pt" o:hralign="center" o:hrstd="t" o:hr="t"/>
        </w:pict>
      </w:r>
    </w:p>
    <w:bookmarkEnd w:id="35"/>
    <w:bookmarkStart w:id="36" w:name="linha-2"/>
    <w:p>
      <w:pPr>
        <w:pStyle w:val="Heading3"/>
      </w:pPr>
      <w:r>
        <w:t xml:space="preserve">Linha 2</w:t>
      </w:r>
    </w:p>
    <w:p>
      <w:pPr>
        <w:pStyle w:val="FirstParagraph"/>
      </w:pPr>
      <w:r>
        <w:t xml:space="preserve">Entropia H(t)</w:t>
      </w:r>
    </w:p>
    <w:p>
      <w:pPr>
        <w:pStyle w:val="BodyText"/>
      </w:pPr>
      <w:r>
        <w:t xml:space="preserve">Mostrar:</w:t>
      </w:r>
    </w:p>
    <w:p>
      <w:pPr>
        <w:pStyle w:val="Compact"/>
        <w:numPr>
          <w:ilvl w:val="0"/>
          <w:numId w:val="1015"/>
        </w:numPr>
      </w:pPr>
      <w:r>
        <w:t xml:space="preserve">baseline com entropia pouco discriminante;</w:t>
      </w:r>
    </w:p>
    <w:p>
      <w:pPr>
        <w:pStyle w:val="Compact"/>
        <w:numPr>
          <w:ilvl w:val="0"/>
          <w:numId w:val="1015"/>
        </w:numPr>
      </w:pPr>
      <w:r>
        <w:t xml:space="preserve">AF-KD com crescimento localizado próximo ao onset.</w:t>
      </w:r>
    </w:p>
    <w:p>
      <w:r>
        <w:pict>
          <v:rect style="width:0;height:1.5pt" o:hralign="center" o:hrstd="t" o:hr="t"/>
        </w:pict>
      </w:r>
    </w:p>
    <w:bookmarkEnd w:id="36"/>
    <w:bookmarkStart w:id="37" w:name="linha-3"/>
    <w:p>
      <w:pPr>
        <w:pStyle w:val="Heading3"/>
      </w:pPr>
      <w:r>
        <w:t xml:space="preserve">Linha 3</w:t>
      </w:r>
    </w:p>
    <w:p>
      <w:pPr>
        <w:pStyle w:val="FirstParagraph"/>
      </w:pPr>
      <w:r>
        <w:t xml:space="preserve">Ativação do gating</w:t>
      </w:r>
    </w:p>
    <w:p>
      <w:pPr>
        <w:pStyle w:val="BodyText"/>
      </w:pPr>
      <w:r>
        <w:t xml:space="preserve">Mostrar:</w:t>
      </w:r>
    </w:p>
    <w:p>
      <w:pPr>
        <w:pStyle w:val="Compact"/>
        <w:numPr>
          <w:ilvl w:val="0"/>
          <w:numId w:val="1016"/>
        </w:numPr>
      </w:pPr>
      <w:r>
        <w:t xml:space="preserve">quadros processados;</w:t>
      </w:r>
    </w:p>
    <w:p>
      <w:pPr>
        <w:pStyle w:val="Compact"/>
        <w:numPr>
          <w:ilvl w:val="0"/>
          <w:numId w:val="1016"/>
        </w:numPr>
      </w:pPr>
      <w:r>
        <w:t xml:space="preserve">quadros reutilizados.</w:t>
      </w:r>
    </w:p>
    <w:p>
      <w:pPr>
        <w:pStyle w:val="FirstParagraph"/>
      </w:pPr>
      <w:r>
        <w:t xml:space="preserve">A hipótese visual esperada:</w:t>
      </w:r>
    </w:p>
    <w:p>
      <w:pPr>
        <w:pStyle w:val="Compact"/>
        <w:numPr>
          <w:ilvl w:val="0"/>
          <w:numId w:val="1017"/>
        </w:numPr>
      </w:pPr>
      <w:r>
        <w:t xml:space="preserve">o AF-KD concentra computação em regiões críticas.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figura-de-calibração-probabilística"/>
    <w:p>
      <w:pPr>
        <w:pStyle w:val="Heading1"/>
      </w:pPr>
      <w:r>
        <w:t xml:space="preserve">6. Figura de Calibração Probabilística</w:t>
      </w:r>
    </w:p>
    <w:bookmarkStart w:id="40" w:name="figura-3-distribuição-de-entropia"/>
    <w:p>
      <w:pPr>
        <w:pStyle w:val="Heading2"/>
      </w:pPr>
      <w:r>
        <w:t xml:space="preserve">Figura 3 — Distribuição de Entropia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Mostrar explicitamente que:</w:t>
      </w:r>
    </w:p>
    <w:p>
      <w:pPr>
        <w:pStyle w:val="Compact"/>
        <w:numPr>
          <w:ilvl w:val="0"/>
          <w:numId w:val="1018"/>
        </w:numPr>
      </w:pPr>
      <w:r>
        <w:t xml:space="preserve">a entropia se torna discriminante após AF-TKD.</w:t>
      </w:r>
    </w:p>
    <w:p>
      <w:r>
        <w:pict>
          <v:rect style="width:0;height:1.5pt" o:hralign="center" o:hrstd="t" o:hr="t"/>
        </w:pict>
      </w:r>
    </w:p>
    <w:bookmarkEnd w:id="40"/>
    <w:bookmarkStart w:id="43" w:name="estrutura-recomendada-1"/>
    <w:p>
      <w:pPr>
        <w:pStyle w:val="Heading2"/>
      </w:pPr>
      <w:r>
        <w:t xml:space="preserve">Estrutura Recomendada</w:t>
      </w:r>
    </w:p>
    <w:p>
      <w:pPr>
        <w:pStyle w:val="FirstParagraph"/>
      </w:pPr>
      <w:r>
        <w:t xml:space="preserve">Histogramas ou KDE:</w:t>
      </w:r>
    </w:p>
    <w:bookmarkStart w:id="41" w:name="baseline"/>
    <w:p>
      <w:pPr>
        <w:pStyle w:val="Heading3"/>
      </w:pPr>
      <w:r>
        <w:t xml:space="preserve">Baseline</w:t>
      </w:r>
    </w:p>
    <w:p>
      <w:pPr>
        <w:pStyle w:val="FirstParagraph"/>
      </w:pPr>
      <w:r>
        <w:t xml:space="preserve">Distribuição sobreposta:</w:t>
      </w:r>
    </w:p>
    <w:p>
      <w:pPr>
        <w:pStyle w:val="Compact"/>
        <w:numPr>
          <w:ilvl w:val="0"/>
          <w:numId w:val="1019"/>
        </w:numPr>
      </w:pPr>
      <w:r>
        <w:t xml:space="preserve">estados estáveis;</w:t>
      </w:r>
    </w:p>
    <w:p>
      <w:pPr>
        <w:pStyle w:val="Compact"/>
        <w:numPr>
          <w:ilvl w:val="0"/>
          <w:numId w:val="1019"/>
        </w:numPr>
      </w:pPr>
      <w:r>
        <w:t xml:space="preserve">pré-onset;</w:t>
      </w:r>
    </w:p>
    <w:p>
      <w:pPr>
        <w:pStyle w:val="Compact"/>
        <w:numPr>
          <w:ilvl w:val="0"/>
          <w:numId w:val="1019"/>
        </w:numPr>
      </w:pPr>
      <w:r>
        <w:t xml:space="preserve">pós-onset.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20"/>
        </w:numPr>
      </w:pPr>
      <w:r>
        <w:t xml:space="preserve">pouca separação.</w:t>
      </w:r>
    </w:p>
    <w:p>
      <w:r>
        <w:pict>
          <v:rect style="width:0;height:1.5pt" o:hralign="center" o:hrstd="t" o:hr="t"/>
        </w:pict>
      </w:r>
    </w:p>
    <w:bookmarkEnd w:id="41"/>
    <w:bookmarkStart w:id="42" w:name="af-tkd"/>
    <w:p>
      <w:pPr>
        <w:pStyle w:val="Heading3"/>
      </w:pPr>
      <w:r>
        <w:t xml:space="preserve">AF-TKD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21"/>
        </w:numPr>
      </w:pPr>
      <w:r>
        <w:t xml:space="preserve">maior concentração;</w:t>
      </w:r>
    </w:p>
    <w:p>
      <w:pPr>
        <w:pStyle w:val="Compact"/>
        <w:numPr>
          <w:ilvl w:val="0"/>
          <w:numId w:val="1021"/>
        </w:numPr>
      </w:pPr>
      <w:r>
        <w:t xml:space="preserve">maior separação entre regimes.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nova-subsection-recomendada"/>
    <w:p>
      <w:pPr>
        <w:pStyle w:val="Heading1"/>
      </w:pPr>
      <w:r>
        <w:t xml:space="preserve">7. Nova Subsection Recomendada</w:t>
      </w:r>
    </w:p>
    <w:bookmarkStart w:id="45" w:name="suggested-title"/>
    <w:p>
      <w:pPr>
        <w:pStyle w:val="Heading2"/>
      </w:pPr>
      <w:r>
        <w:t xml:space="preserve">Suggested title</w:t>
      </w:r>
    </w:p>
    <w:p>
      <w:pPr>
        <w:pStyle w:val="SourceCode"/>
      </w:pPr>
      <w:r>
        <w:rPr>
          <w:rStyle w:val="KeywordTok"/>
        </w:rPr>
        <w:t xml:space="preserve">\subsection</w:t>
      </w:r>
      <w:r>
        <w:rPr>
          <w:rStyle w:val="NormalTok"/>
        </w:rPr>
        <w:t xml:space="preserve">{Impact of Bidirectional Supervision on Temporal Calibration}</w:t>
      </w:r>
    </w:p>
    <w:p>
      <w:r>
        <w:pict>
          <v:rect style="width:0;height:1.5pt" o:hralign="center" o:hrstd="t" o:hr="t"/>
        </w:pict>
      </w:r>
    </w:p>
    <w:bookmarkEnd w:id="45"/>
    <w:bookmarkStart w:id="46" w:name="texto-base-sugerido"/>
    <w:p>
      <w:pPr>
        <w:pStyle w:val="Heading2"/>
      </w:pPr>
      <w:r>
        <w:t xml:space="preserve">Texto-base sugerido</w:t>
      </w:r>
    </w:p>
    <w:p>
      <w:pPr>
        <w:pStyle w:val="SourceCode"/>
      </w:pPr>
      <w:r>
        <w:rPr>
          <w:rStyle w:val="NormalTok"/>
        </w:rPr>
        <w:t xml:space="preserve">The teacher ablation isolates whether the gains obtained by AF-TKD</w:t>
      </w:r>
      <w:r>
        <w:br/>
      </w:r>
      <w:r>
        <w:rPr>
          <w:rStyle w:val="NormalTok"/>
        </w:rPr>
        <w:t xml:space="preserve">originate from bidirectional temporal access or merely from increased</w:t>
      </w:r>
      <w:r>
        <w:br/>
      </w:r>
      <w:r>
        <w:rPr>
          <w:rStyle w:val="NormalTok"/>
        </w:rPr>
        <w:t xml:space="preserve">teacher capacity. Replacing the BiLSTM teacher with a</w:t>
      </w:r>
      <w:r>
        <w:br/>
      </w:r>
      <w:r>
        <w:rPr>
          <w:rStyle w:val="NormalTok"/>
        </w:rPr>
        <w:t xml:space="preserve">TransformerTeacher preserves model scale while altering the temporal</w:t>
      </w:r>
      <w:r>
        <w:br/>
      </w:r>
      <w:r>
        <w:rPr>
          <w:rStyle w:val="NormalTok"/>
        </w:rPr>
        <w:t xml:space="preserve">inductive bias transferred to the student.</w:t>
      </w:r>
      <w:r>
        <w:br/>
      </w:r>
      <w:r>
        <w:br/>
      </w:r>
      <w:r>
        <w:rPr>
          <w:rStyle w:val="NormalTok"/>
        </w:rPr>
        <w:t xml:space="preserve">The results indicate that the dominant transferred property is not</w:t>
      </w:r>
      <w:r>
        <w:br/>
      </w:r>
      <w:r>
        <w:rPr>
          <w:rStyle w:val="NormalTok"/>
        </w:rPr>
        <w:t xml:space="preserve">parameter count, but temporally structured access to future context.</w:t>
      </w:r>
      <w:r>
        <w:br/>
      </w:r>
      <w:r>
        <w:rPr>
          <w:rStyle w:val="NormalTok"/>
        </w:rPr>
        <w:t xml:space="preserve">Although the TransformerTeacher improves coverage relative to causal</w:t>
      </w:r>
      <w:r>
        <w:br/>
      </w:r>
      <w:r>
        <w:rPr>
          <w:rStyle w:val="NormalTok"/>
        </w:rPr>
        <w:t xml:space="preserve">baselines, the BiLSTM-based supervision consistently produces more</w:t>
      </w:r>
      <w:r>
        <w:br/>
      </w:r>
      <w:r>
        <w:rPr>
          <w:rStyle w:val="NormalTok"/>
        </w:rPr>
        <w:t xml:space="preserve">stable calibration and lower effective detection latency across seeds.</w:t>
      </w:r>
      <w:r>
        <w:br/>
      </w:r>
      <w:r>
        <w:br/>
      </w:r>
      <w:r>
        <w:rPr>
          <w:rStyle w:val="NormalTok"/>
        </w:rPr>
        <w:t xml:space="preserve">These observations suggest that recurrent bidirectional supervision is</w:t>
      </w:r>
      <w:r>
        <w:br/>
      </w:r>
      <w:r>
        <w:rPr>
          <w:rStyle w:val="NormalTok"/>
        </w:rPr>
        <w:t xml:space="preserve">particularly effective for transferring precursor sensitivity under</w:t>
      </w:r>
      <w:r>
        <w:br/>
      </w:r>
      <w:r>
        <w:rPr>
          <w:rStyle w:val="NormalTok"/>
        </w:rPr>
        <w:t xml:space="preserve">strictly causal streaming constraints, where the student must operate</w:t>
      </w:r>
      <w:r>
        <w:br/>
      </w:r>
      <w:r>
        <w:rPr>
          <w:rStyle w:val="NormalTok"/>
        </w:rPr>
        <w:t xml:space="preserve">without future context during deployment.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justes-conceituais-importantes"/>
    <w:p>
      <w:pPr>
        <w:pStyle w:val="Heading1"/>
      </w:pPr>
      <w:r>
        <w:t xml:space="preserve">8. Ajustes Conceituais Importantes</w:t>
      </w:r>
    </w:p>
    <w:bookmarkStart w:id="48" w:name="não-apresentar-o-experimento-como"/>
    <w:p>
      <w:pPr>
        <w:pStyle w:val="Heading2"/>
      </w:pPr>
      <w:r>
        <w:t xml:space="preserve">NÃO apresentar o experimento como:</w:t>
      </w:r>
    </w:p>
    <w:p>
      <w:pPr>
        <w:pStyle w:val="Compact"/>
        <w:numPr>
          <w:ilvl w:val="0"/>
          <w:numId w:val="1022"/>
        </w:numPr>
      </w:pPr>
      <w:r>
        <w:t xml:space="preserve">“Transformer versus LSTM”</w:t>
      </w:r>
      <w:r>
        <w:t xml:space="preserve">.</w:t>
      </w:r>
    </w:p>
    <w:p>
      <w:pPr>
        <w:pStyle w:val="FirstParagraph"/>
      </w:pPr>
      <w:r>
        <w:t xml:space="preserve">Isso enfraquece o paper.</w:t>
      </w:r>
    </w:p>
    <w:p>
      <w:r>
        <w:pict>
          <v:rect style="width:0;height:1.5pt" o:hralign="center" o:hrstd="t" o:hr="t"/>
        </w:pict>
      </w:r>
    </w:p>
    <w:bookmarkEnd w:id="48"/>
    <w:bookmarkStart w:id="49" w:name="apresentar-como"/>
    <w:p>
      <w:pPr>
        <w:pStyle w:val="Heading2"/>
      </w:pPr>
      <w:r>
        <w:t xml:space="preserve">Apresentar como:</w:t>
      </w:r>
    </w:p>
    <w:p>
      <w:pPr>
        <w:pStyle w:val="Compact"/>
        <w:numPr>
          <w:ilvl w:val="0"/>
          <w:numId w:val="1023"/>
        </w:numPr>
      </w:pPr>
      <w:r>
        <w:t xml:space="preserve">bidirectionality versus parametric capacity.</w:t>
      </w:r>
    </w:p>
    <w:p>
      <w:pPr>
        <w:pStyle w:val="FirstParagraph"/>
      </w:pPr>
      <w:r>
        <w:t xml:space="preserve">Esse é o framing correto.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tabela-final-recomendada"/>
    <w:p>
      <w:pPr>
        <w:pStyle w:val="Heading1"/>
      </w:pPr>
      <w:r>
        <w:t xml:space="preserve">9. Tabela Final Recomendada</w:t>
      </w:r>
    </w:p>
    <w:p>
      <w:pPr>
        <w:pStyle w:val="FirstParagraph"/>
      </w:pPr>
      <w:r>
        <w:t xml:space="preserve">Você possui dados demais.</w:t>
      </w:r>
    </w:p>
    <w:p>
      <w:pPr>
        <w:pStyle w:val="BodyText"/>
      </w:pPr>
      <w:r>
        <w:t xml:space="preserve">A tabela principal deve ser compacta.</w:t>
      </w:r>
    </w:p>
    <w:bookmarkStart w:id="51" w:name="estrutura-recomendada-2"/>
    <w:p>
      <w:pPr>
        <w:pStyle w:val="Heading2"/>
      </w:pPr>
      <w:r>
        <w:t xml:space="preserve">Estrutura recomendada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TTD_eff</w:t>
            </w:r>
          </w:p>
        </w:tc>
        <w:tc>
          <w:tcPr/>
          <w:p>
            <w:pPr>
              <w:pStyle w:val="Compact"/>
            </w:pPr>
            <w:r>
              <w:t xml:space="preserve">ECE</w:t>
            </w:r>
          </w:p>
        </w:tc>
        <w:tc>
          <w:tcPr/>
          <w:p>
            <w:pPr>
              <w:pStyle w:val="Compact"/>
            </w:pPr>
            <w:r>
              <w:t xml:space="preserve">ms/frame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LSTM-Base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LSTM-AF-KD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LSTM-TransKD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Trans-Base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Trans-AF-KD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X6d387622431773cd92312176b82acc983a0d597"/>
    <w:p>
      <w:pPr>
        <w:pStyle w:val="Heading1"/>
      </w:pPr>
      <w:r>
        <w:t xml:space="preserve">10. Resultados Mais Relevantes do Experimento</w:t>
      </w:r>
    </w:p>
    <w:bookmarkStart w:id="53" w:name="achado-1"/>
    <w:p>
      <w:pPr>
        <w:pStyle w:val="Heading2"/>
      </w:pPr>
      <w:r>
        <w:t xml:space="preserve">Achado 1</w:t>
      </w:r>
    </w:p>
    <w:p>
      <w:pPr>
        <w:pStyle w:val="FirstParagraph"/>
      </w:pPr>
      <w:r>
        <w:t xml:space="preserve">AF-TKD reduz drasticamente FailRate.</w:t>
      </w:r>
    </w:p>
    <w:p>
      <w:r>
        <w:pict>
          <v:rect style="width:0;height:1.5pt" o:hralign="center" o:hrstd="t" o:hr="t"/>
        </w:pict>
      </w:r>
    </w:p>
    <w:bookmarkEnd w:id="53"/>
    <w:bookmarkStart w:id="54" w:name="achado-2"/>
    <w:p>
      <w:pPr>
        <w:pStyle w:val="Heading2"/>
      </w:pPr>
      <w:r>
        <w:t xml:space="preserve">Achado 2</w:t>
      </w:r>
    </w:p>
    <w:p>
      <w:pPr>
        <w:pStyle w:val="FirstParagraph"/>
      </w:pPr>
      <w:r>
        <w:t xml:space="preserve">A propriedade transferida é temporal e não apenas arquitetural.</w:t>
      </w:r>
    </w:p>
    <w:p>
      <w:r>
        <w:pict>
          <v:rect style="width:0;height:1.5pt" o:hralign="center" o:hrstd="t" o:hr="t"/>
        </w:pict>
      </w:r>
    </w:p>
    <w:bookmarkEnd w:id="54"/>
    <w:bookmarkStart w:id="55" w:name="achado-3"/>
    <w:p>
      <w:pPr>
        <w:pStyle w:val="Heading2"/>
      </w:pPr>
      <w:r>
        <w:t xml:space="preserve">Achado 3</w:t>
      </w:r>
    </w:p>
    <w:p>
      <w:pPr>
        <w:pStyle w:val="FirstParagraph"/>
      </w:pPr>
      <w:r>
        <w:t xml:space="preserve">Transformers causais não dominam automaticamente cenários críticos streaming.</w:t>
      </w:r>
    </w:p>
    <w:p>
      <w:r>
        <w:pict>
          <v:rect style="width:0;height:1.5pt" o:hralign="center" o:hrstd="t" o:hr="t"/>
        </w:pict>
      </w:r>
    </w:p>
    <w:bookmarkEnd w:id="55"/>
    <w:bookmarkStart w:id="56" w:name="achado-4"/>
    <w:p>
      <w:pPr>
        <w:pStyle w:val="Heading2"/>
      </w:pPr>
      <w:r>
        <w:t xml:space="preserve">Achado 4</w:t>
      </w:r>
    </w:p>
    <w:p>
      <w:pPr>
        <w:pStyle w:val="FirstParagraph"/>
      </w:pPr>
      <w:r>
        <w:t xml:space="preserve">Calibração probabilística é pré-condição para gating seguro.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ordem-recomendada-dos-próximos-trabalhos"/>
    <w:p>
      <w:pPr>
        <w:pStyle w:val="Heading1"/>
      </w:pPr>
      <w:r>
        <w:t xml:space="preserve">11. Ordem Recomendada dos Próximos Trabalhos</w:t>
      </w:r>
    </w:p>
    <w:bookmarkStart w:id="58" w:name="prioridade-1"/>
    <w:p>
      <w:pPr>
        <w:pStyle w:val="Heading2"/>
      </w:pPr>
      <w:r>
        <w:t xml:space="preserve">PRIORIDADE 1</w:t>
      </w:r>
    </w:p>
    <w:p>
      <w:pPr>
        <w:pStyle w:val="FirstParagraph"/>
      </w:pPr>
      <w:r>
        <w:t xml:space="preserve">Refinar figura multi-seed.</w:t>
      </w:r>
    </w:p>
    <w:p>
      <w:r>
        <w:pict>
          <v:rect style="width:0;height:1.5pt" o:hralign="center" o:hrstd="t" o:hr="t"/>
        </w:pict>
      </w:r>
    </w:p>
    <w:bookmarkEnd w:id="58"/>
    <w:bookmarkStart w:id="59" w:name="prioridade-2"/>
    <w:p>
      <w:pPr>
        <w:pStyle w:val="Heading2"/>
      </w:pPr>
      <w:r>
        <w:t xml:space="preserve">PRIORIDADE 2</w:t>
      </w:r>
    </w:p>
    <w:p>
      <w:pPr>
        <w:pStyle w:val="FirstParagraph"/>
      </w:pPr>
      <w:r>
        <w:t xml:space="preserve">Implementar temporal traces.</w:t>
      </w:r>
    </w:p>
    <w:p>
      <w:r>
        <w:pict>
          <v:rect style="width:0;height:1.5pt" o:hralign="center" o:hrstd="t" o:hr="t"/>
        </w:pict>
      </w:r>
    </w:p>
    <w:bookmarkEnd w:id="59"/>
    <w:bookmarkStart w:id="60" w:name="prioridade-3"/>
    <w:p>
      <w:pPr>
        <w:pStyle w:val="Heading2"/>
      </w:pPr>
      <w:r>
        <w:t xml:space="preserve">PRIORIDADE 3</w:t>
      </w:r>
    </w:p>
    <w:p>
      <w:pPr>
        <w:pStyle w:val="FirstParagraph"/>
      </w:pPr>
      <w:r>
        <w:t xml:space="preserve">Implementar distribuição de entropia.</w:t>
      </w:r>
    </w:p>
    <w:p>
      <w:r>
        <w:pict>
          <v:rect style="width:0;height:1.5pt" o:hralign="center" o:hrstd="t" o:hr="t"/>
        </w:pict>
      </w:r>
    </w:p>
    <w:bookmarkEnd w:id="60"/>
    <w:bookmarkStart w:id="61" w:name="prioridade-4"/>
    <w:p>
      <w:pPr>
        <w:pStyle w:val="Heading2"/>
      </w:pPr>
      <w:r>
        <w:t xml:space="preserve">PRIORIDADE 4</w:t>
      </w:r>
    </w:p>
    <w:p>
      <w:pPr>
        <w:pStyle w:val="FirstParagraph"/>
      </w:pPr>
      <w:r>
        <w:t xml:space="preserve">Reescrever subseção de ablação do professor.</w:t>
      </w:r>
    </w:p>
    <w:p>
      <w:r>
        <w:pict>
          <v:rect style="width:0;height:1.5pt" o:hralign="center" o:hrstd="t" o:hr="t"/>
        </w:pict>
      </w:r>
    </w:p>
    <w:bookmarkEnd w:id="61"/>
    <w:bookmarkStart w:id="62" w:name="prioridade-5"/>
    <w:p>
      <w:pPr>
        <w:pStyle w:val="Heading2"/>
      </w:pPr>
      <w:r>
        <w:t xml:space="preserve">PRIORIDADE 5</w:t>
      </w:r>
    </w:p>
    <w:p>
      <w:pPr>
        <w:pStyle w:val="FirstParagraph"/>
      </w:pPr>
      <w:r>
        <w:t xml:space="preserve">Adicionar análise qualitativa de falhas.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o-que-não-fazer"/>
    <w:p>
      <w:pPr>
        <w:pStyle w:val="Heading1"/>
      </w:pPr>
      <w:r>
        <w:t xml:space="preserve">12. O que NÃO Fazer</w:t>
      </w:r>
    </w:p>
    <w:p>
      <w:pPr>
        <w:pStyle w:val="FirstParagraph"/>
      </w:pPr>
      <w:r>
        <w:t xml:space="preserve">Não:</w:t>
      </w:r>
    </w:p>
    <w:p>
      <w:pPr>
        <w:pStyle w:val="Compact"/>
        <w:numPr>
          <w:ilvl w:val="0"/>
          <w:numId w:val="1024"/>
        </w:numPr>
      </w:pPr>
      <w:r>
        <w:t xml:space="preserve">transformar o paper em benchmark arquitetural;</w:t>
      </w:r>
    </w:p>
    <w:p>
      <w:pPr>
        <w:pStyle w:val="Compact"/>
        <w:numPr>
          <w:ilvl w:val="0"/>
          <w:numId w:val="1024"/>
        </w:numPr>
      </w:pPr>
      <w:r>
        <w:t xml:space="preserve">adicionar dezenas de modelos;</w:t>
      </w:r>
    </w:p>
    <w:p>
      <w:pPr>
        <w:pStyle w:val="Compact"/>
        <w:numPr>
          <w:ilvl w:val="0"/>
          <w:numId w:val="1024"/>
        </w:numPr>
      </w:pPr>
      <w:r>
        <w:t xml:space="preserve">dispersar a narrativa;</w:t>
      </w:r>
    </w:p>
    <w:p>
      <w:pPr>
        <w:pStyle w:val="Compact"/>
        <w:numPr>
          <w:ilvl w:val="0"/>
          <w:numId w:val="1024"/>
        </w:numPr>
      </w:pPr>
      <w:r>
        <w:t xml:space="preserve">adicionar robustez excessiva agora;</w:t>
      </w:r>
    </w:p>
    <w:p>
      <w:pPr>
        <w:pStyle w:val="Compact"/>
        <w:numPr>
          <w:ilvl w:val="0"/>
          <w:numId w:val="1024"/>
        </w:numPr>
      </w:pPr>
      <w:r>
        <w:t xml:space="preserve">inflar tabelas.</w:t>
      </w:r>
    </w:p>
    <w:p>
      <w:r>
        <w:pict>
          <v:rect style="width:0;height:1.5pt" o:hralign="center" o:hrstd="t" o:hr="t"/>
        </w:pict>
      </w:r>
    </w:p>
    <w:bookmarkEnd w:id="64"/>
    <w:bookmarkStart w:id="65" w:name="X53a7e79234048f0caaceacc28b5cc52a97bd068"/>
    <w:p>
      <w:pPr>
        <w:pStyle w:val="Heading1"/>
      </w:pPr>
      <w:r>
        <w:t xml:space="preserve">13. Formulação Final da Contribuição Científica</w:t>
      </w:r>
    </w:p>
    <w:p>
      <w:pPr>
        <w:pStyle w:val="FirstParagraph"/>
      </w:pPr>
      <w:r>
        <w:t xml:space="preserve">O artigo agora pode ser resumido cientificamente como:</w:t>
      </w:r>
    </w:p>
    <w:p>
      <w:pPr>
        <w:pStyle w:val="BlockText"/>
      </w:pPr>
      <w:r>
        <w:t xml:space="preserve">O trabalho demonstra que supervisão temporal bidirecional orientada ao instante de início permite transferir sensibilidade a padrões precursores para modelos causais leves, reorganizando sua calibração probabilística e viabilizando inferência adaptativa eficiente sob restrições estritas de streaming em Edge AI.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2026-05-15T16:09:25Z</dcterms:created>
  <dcterms:modified xsi:type="dcterms:W3CDTF">2026-05-15T16:09:25Z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