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Reducing Inference Cost for Enterprise PII Detection: A Tokenizer-Optimization and QLoRA Efficiency Benchmark</w:t>
      </w:r>
    </w:p>
    <w:p>
      <w:pPr>
        <w:pStyle w:val="Heading1"/>
      </w:pPr>
      <w:r>
        <w:t>Abstract</w:t>
      </w:r>
    </w:p>
    <w:p>
      <w:pPr>
        <w:pStyle w:val="ListBullet"/>
      </w:pPr>
      <w:r>
        <w:rPr>
          <w:b/>
        </w:rPr>
        <w:t>Problem:</w:t>
      </w:r>
      <w:r>
        <w:t xml:space="preserve"> PII detection at enterprise scale is constrained by inference latency, token count, and GPU memory.</w:t>
      </w:r>
    </w:p>
    <w:p>
      <w:pPr>
        <w:pStyle w:val="ListBullet"/>
      </w:pPr>
      <w:r>
        <w:rPr>
          <w:b/>
        </w:rPr>
        <w:t>Proposed idea:</w:t>
      </w:r>
      <w:r>
        <w:t xml:space="preserve"> Combine a PII-optimized custom tokenizer with lightweight 4-bit QLoRA adaptation of a Nemotron model, and measure their individual and combined efficiency effects.</w:t>
      </w:r>
    </w:p>
    <w:p>
      <w:pPr>
        <w:pStyle w:val="ListBullet"/>
      </w:pPr>
      <w:r>
        <w:rPr>
          <w:b/>
        </w:rPr>
        <w:t>Expected contribution:</w:t>
      </w:r>
      <w:r>
        <w:t xml:space="preserve"> A minimal, reproducible benchmark comparing four configurations (base, tokenizer-only, QLoRA-only, tokenizer+QLoRA) on latency, throughput, VRAM, token count, and detection quality.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Problem</w:t>
      </w:r>
    </w:p>
    <w:p>
      <w:pPr>
        <w:pStyle w:val="ListBullet"/>
      </w:pPr>
      <w:r>
        <w:t>PII detection must run on long enterprise text streams where token count drives cost.</w:t>
      </w:r>
    </w:p>
    <w:p>
      <w:pPr>
        <w:pStyle w:val="ListBullet"/>
      </w:pPr>
      <w:r>
        <w:t>Full fine-tuning of large models is memory- and compute-expensive.</w:t>
      </w:r>
    </w:p>
    <w:p>
      <w:pPr>
        <w:pStyle w:val="ListBullet"/>
      </w:pPr>
      <w:r>
        <w:t>General-purpose tokenizers fragment common PII shapes (SSNs, EINs, phones), inflating token counts.</w:t>
      </w:r>
    </w:p>
    <w:p>
      <w:pPr>
        <w:pStyle w:val="ListBullet"/>
      </w:pPr>
      <w:r>
        <w:t>No single, reproducible scaffold here isolates the efficiency contribution of *tokenizer* vs *adapter* changes.</w:t>
      </w:r>
    </w:p>
    <w:p>
      <w:pPr>
        <w:pStyle w:val="Heading2"/>
      </w:pPr>
      <w:r>
        <w:t>Research Questions</w:t>
      </w:r>
    </w:p>
    <w:p>
      <w:pPr>
        <w:pStyle w:val="ListBullet"/>
      </w:pPr>
      <w:r>
        <w:t>Does a PII-optimized custom tokenizer reduce tokens per example versus the base tokenizer?</w:t>
      </w:r>
    </w:p>
    <w:p>
      <w:pPr>
        <w:pStyle w:val="ListBullet"/>
      </w:pPr>
      <w:r>
        <w:t>Does 4-bit QLoRA adaptation reduce memory footprint while retaining detection quality?</w:t>
      </w:r>
    </w:p>
    <w:p>
      <w:pPr>
        <w:pStyle w:val="ListBullet"/>
      </w:pPr>
      <w:r>
        <w:t>Do tokenizer optimization and QLoRA combine for additive efficiency gains?</w:t>
      </w:r>
    </w:p>
    <w:p>
      <w:pPr>
        <w:pStyle w:val="ListBullet"/>
      </w:pPr>
      <w:r>
        <w:t>What is the latency / throughput / VRAM trade-off across the four configurations?</w:t>
      </w:r>
    </w:p>
    <w:p>
      <w:pPr>
        <w:pStyle w:val="Heading2"/>
      </w:pPr>
      <w:r>
        <w:t>Contributions</w:t>
      </w:r>
    </w:p>
    <w:p>
      <w:pPr>
        <w:pStyle w:val="ListBullet"/>
      </w:pPr>
      <w:r>
        <w:t>A four-configuration inference-efficiency benchmark (base, tokenizer, QLoRA, tokenizer+QLoRA).</w:t>
      </w:r>
    </w:p>
    <w:p>
      <w:pPr>
        <w:pStyle w:val="ListBullet"/>
      </w:pPr>
      <w:r>
        <w:t>A custom BPE tokenizer with reserved PII special tokens.</w:t>
      </w:r>
    </w:p>
    <w:p>
      <w:pPr>
        <w:pStyle w:val="ListBullet"/>
      </w:pPr>
      <w:r>
        <w:t>A minimal QLoRA token-classification pipeline (LoRA r=8, alpha=16, dropout=0.05).</w:t>
      </w:r>
    </w:p>
    <w:p>
      <w:pPr>
        <w:pStyle w:val="ListBullet"/>
      </w:pPr>
      <w:r>
        <w:t>Fully seeded, JSON-logged, diffable reproducibility scaffold.</w:t>
      </w:r>
    </w:p>
    <w:p>
      <w:pPr>
        <w:pStyle w:val="Heading1"/>
      </w:pPr>
      <w:r>
        <w:t>2. Background and Related Work</w:t>
      </w:r>
    </w:p>
    <w:p>
      <w:pPr>
        <w:pStyle w:val="ListBullet"/>
      </w:pPr>
      <w:r>
        <w:t>Closest prior work: QLoRA / parameter-efficient fine-tuning (peft) and 4-bit quantization (bitsandbytes).</w:t>
      </w:r>
    </w:p>
    <w:p>
      <w:pPr>
        <w:pStyle w:val="ListBullet"/>
      </w:pPr>
      <w:r>
        <w:t>Tokenizer specialization via HuggingFace BPE with domain special tokens.</w:t>
      </w:r>
    </w:p>
    <w:p>
      <w:pPr>
        <w:pStyle w:val="ListBullet"/>
      </w:pPr>
      <w:r>
        <w:t>Token-classification PII detection evaluated with seqeval entity metrics.</w:t>
      </w:r>
    </w:p>
    <w:p>
      <w:pPr>
        <w:pStyle w:val="ListBullet"/>
      </w:pPr>
      <w:r>
        <w:t>Built on a Nemotron / NeMo-compatible base model (</w:t>
      </w:r>
      <w:r>
        <w:rPr>
          <w:rFonts w:ascii="Consolas" w:hAnsi="Consolas"/>
        </w:rPr>
        <w:t>nvidia/Nemotron-Mini-4B-Instruct</w:t>
      </w:r>
      <w:r>
        <w:t xml:space="preserve">) and the </w:t>
      </w:r>
      <w:r>
        <w:rPr>
          <w:rFonts w:ascii="Consolas" w:hAnsi="Consolas"/>
        </w:rPr>
        <w:t>nvidia/Nemotron-PII</w:t>
      </w:r>
      <w:r>
        <w:t xml:space="preserve"> dataset.</w:t>
      </w:r>
    </w:p>
    <w:p>
      <w:pPr>
        <w:pStyle w:val="ListBullet"/>
      </w:pPr>
      <w:r>
        <w:t>Research gap: efficiency contributions of tokenizer vs adapter are rarely isolated and benchmarked together on PII data.</w:t>
      </w:r>
    </w:p>
    <w:p>
      <w:pPr>
        <w:pStyle w:val="ListBullet"/>
      </w:pPr>
      <w:r>
        <w:t>*Placeholder:* no formal citation list is present in the repository.</w:t>
      </w:r>
    </w:p>
    <w:p>
      <w:pPr>
        <w:pStyle w:val="Heading1"/>
      </w:pPr>
      <w:r>
        <w:t>3. Core Concept / Framework</w:t>
      </w:r>
    </w:p>
    <w:p>
      <w:r>
        <w:rPr>
          <w:i/>
        </w:rPr>
        <w:t>(Most important section)</w:t>
      </w:r>
    </w:p>
    <w:p>
      <w:pPr>
        <w:pStyle w:val="ListBullet"/>
      </w:pPr>
      <w:r>
        <w:rPr>
          <w:b/>
        </w:rPr>
        <w:t>Definition — Efficiency levers:</w:t>
      </w:r>
      <w:r>
        <w:t xml:space="preserve"> three independent levers are studied, per the repository hypothesis table.</w:t>
      </w:r>
    </w:p>
    <w:p>
      <w:pPr>
        <w:pStyle w:val="ListBullet2"/>
      </w:pPr>
      <w:r>
        <w:t>Custom tokenizer → fewer tokens/example → lower latency &amp; VRAM.</w:t>
      </w:r>
    </w:p>
    <w:p>
      <w:pPr>
        <w:pStyle w:val="ListBullet2"/>
      </w:pPr>
      <w:r>
        <w:t>QLoRA (4-bit) adapters → small memory footprint, fast adaptation.</w:t>
      </w:r>
    </w:p>
    <w:p>
      <w:pPr>
        <w:pStyle w:val="ListBullet2"/>
      </w:pPr>
      <w:r>
        <w:t>Tokenizer + QLoRA → combined efficiency gains.</w:t>
      </w:r>
    </w:p>
    <w:p>
      <w:pPr>
        <w:pStyle w:val="ListBullet"/>
      </w:pPr>
      <w:r>
        <w:rPr>
          <w:b/>
        </w:rPr>
        <w:t>Pipeline stages (taxonomy of components):</w:t>
      </w:r>
    </w:p>
    <w:p>
      <w:pPr>
        <w:pStyle w:val="ListBullet2"/>
      </w:pPr>
      <w:r>
        <w:rPr>
          <w:rFonts w:ascii="Consolas" w:hAnsi="Consolas"/>
        </w:rPr>
        <w:t>dataset/</w:t>
      </w:r>
      <w:r>
        <w:t xml:space="preserve"> — load + BIO-preprocess Nemotron-PII (char spans → token-level B-/I-/O labels).</w:t>
      </w:r>
    </w:p>
    <w:p>
      <w:pPr>
        <w:pStyle w:val="ListBullet2"/>
      </w:pPr>
      <w:r>
        <w:rPr>
          <w:rFonts w:ascii="Consolas" w:hAnsi="Consolas"/>
        </w:rPr>
        <w:t>tokenizer/</w:t>
      </w:r>
      <w:r>
        <w:t xml:space="preserve"> — train + evaluate a PII-optimized custom BPE tokenizer.</w:t>
      </w:r>
    </w:p>
    <w:p>
      <w:pPr>
        <w:pStyle w:val="ListBullet2"/>
      </w:pPr>
      <w:r>
        <w:rPr>
          <w:rFonts w:ascii="Consolas" w:hAnsi="Consolas"/>
        </w:rPr>
        <w:t>qlora/</w:t>
      </w:r>
      <w:r>
        <w:t xml:space="preserve"> — 4-bit QLoRA token-classification fine-tuning.</w:t>
      </w:r>
    </w:p>
    <w:p>
      <w:pPr>
        <w:pStyle w:val="ListBullet2"/>
      </w:pPr>
      <w:r>
        <w:rPr>
          <w:rFonts w:ascii="Consolas" w:hAnsi="Consolas"/>
        </w:rPr>
        <w:t>benchmark/</w:t>
      </w:r>
      <w:r>
        <w:t xml:space="preserve"> — inference-efficiency comparison across four configurations.</w:t>
      </w:r>
    </w:p>
    <w:p>
      <w:pPr>
        <w:pStyle w:val="ListBullet"/>
      </w:pPr>
      <w:r>
        <w:rPr>
          <w:b/>
        </w:rPr>
        <w:t>Key concepts:</w:t>
      </w:r>
    </w:p>
    <w:p>
      <w:pPr>
        <w:pStyle w:val="ListBullet2"/>
      </w:pPr>
      <w:r>
        <w:t xml:space="preserve">PII special tokens kept as single units: </w:t>
      </w:r>
      <w:r>
        <w:rPr>
          <w:rFonts w:ascii="Consolas" w:hAnsi="Consolas"/>
        </w:rPr>
        <w:t>&lt;SSN&gt;</w:t>
      </w:r>
      <w:r>
        <w:t xml:space="preserve">, </w:t>
      </w:r>
      <w:r>
        <w:rPr>
          <w:rFonts w:ascii="Consolas" w:hAnsi="Consolas"/>
        </w:rPr>
        <w:t>&lt;EIN&gt;</w:t>
      </w:r>
      <w:r>
        <w:t xml:space="preserve">, </w:t>
      </w:r>
      <w:r>
        <w:rPr>
          <w:rFonts w:ascii="Consolas" w:hAnsi="Consolas"/>
        </w:rPr>
        <w:t>&lt;PHONE&gt;</w:t>
      </w:r>
      <w:r>
        <w:t xml:space="preserve">, </w:t>
      </w:r>
      <w:r>
        <w:rPr>
          <w:rFonts w:ascii="Consolas" w:hAnsi="Consolas"/>
        </w:rPr>
        <w:t>&lt;ADDRESS&gt;</w:t>
      </w:r>
      <w:r>
        <w:t xml:space="preserve">, </w:t>
      </w:r>
      <w:r>
        <w:rPr>
          <w:rFonts w:ascii="Consolas" w:hAnsi="Consolas"/>
        </w:rPr>
        <w:t>&lt;EMAIL&gt;</w:t>
      </w:r>
      <w:r>
        <w:t xml:space="preserve">, </w:t>
      </w:r>
      <w:r>
        <w:rPr>
          <w:rFonts w:ascii="Consolas" w:hAnsi="Consolas"/>
        </w:rPr>
        <w:t>&lt;ID&gt;</w:t>
      </w:r>
      <w:r>
        <w:t>.</w:t>
      </w:r>
    </w:p>
    <w:p>
      <w:pPr>
        <w:pStyle w:val="ListBullet2"/>
      </w:pPr>
      <w:r>
        <w:t xml:space="preserve">Offset-mapping alignment converts character spans into BIO tags; subword continuations / specials ignored with </w:t>
      </w:r>
      <w:r>
        <w:rPr>
          <w:rFonts w:ascii="Consolas" w:hAnsi="Consolas"/>
        </w:rPr>
        <w:t>-100</w:t>
      </w:r>
      <w:r>
        <w:t>.</w:t>
      </w:r>
    </w:p>
    <w:p>
      <w:pPr>
        <w:pStyle w:val="ListBullet2"/>
      </w:pPr>
      <w:r>
        <w:t>Schema-robust span parsing (label/start/end aliases, JSON-string spans, auto-detected span column).</w:t>
      </w:r>
    </w:p>
    <w:p>
      <w:pPr>
        <w:pStyle w:val="ListBullet"/>
      </w:pPr>
      <w:r>
        <w:t>Figure: pipeline diagram — Data → Tokenizer → QLoRA → Benchmark.</w:t>
      </w:r>
    </w:p>
    <w:p>
      <w:pPr>
        <w:pStyle w:val="ListBullet"/>
      </w:pPr>
      <w:r>
        <w:t>Diagram: BIO alignment from character spans to token-level labels.</w:t>
      </w:r>
    </w:p>
    <w:p>
      <w:pPr>
        <w:pStyle w:val="ListBullet"/>
      </w:pPr>
      <w:r>
        <w:t>Figure: four-configuration matrix (base / tokenizer / QLoRA / tokenizer+QLoRA).</w:t>
      </w:r>
    </w:p>
    <w:p>
      <w:pPr>
        <w:pStyle w:val="Heading1"/>
      </w:pPr>
      <w:r>
        <w:t>4. Dataset / Benchmark / Experimental Design</w:t>
      </w:r>
    </w:p>
    <w:p>
      <w:pPr>
        <w:pStyle w:val="ListBullet"/>
      </w:pPr>
      <w:r>
        <w:rPr>
          <w:b/>
        </w:rPr>
        <w:t>Data source:</w:t>
      </w:r>
      <w:r>
        <w:t xml:space="preserve"> </w:t>
      </w:r>
      <w:r>
        <w:rPr>
          <w:rFonts w:ascii="Consolas" w:hAnsi="Consolas"/>
        </w:rPr>
        <w:t>nvidia/Nemotron-PII</w:t>
      </w:r>
      <w:r>
        <w:t xml:space="preserve"> (HF hub id; overridable to a local mirror).</w:t>
      </w:r>
    </w:p>
    <w:p>
      <w:pPr>
        <w:pStyle w:val="ListBullet"/>
      </w:pPr>
      <w:r>
        <w:rPr>
          <w:b/>
        </w:rPr>
        <w:t>Splits:</w:t>
      </w:r>
      <w:r>
        <w:t xml:space="preserve"> train 0.8 / validation 0.1 / test 0.1, deterministic, </w:t>
      </w:r>
      <w:r>
        <w:rPr>
          <w:rFonts w:ascii="Consolas" w:hAnsi="Consolas"/>
        </w:rPr>
        <w:t>seed: 42</w:t>
      </w:r>
      <w:r>
        <w:t>, saved to disk before preprocessing.</w:t>
      </w:r>
    </w:p>
    <w:p>
      <w:pPr>
        <w:pStyle w:val="ListBullet"/>
      </w:pPr>
      <w:r>
        <w:rPr>
          <w:b/>
        </w:rPr>
        <w:t>Labels:</w:t>
      </w:r>
      <w:r>
        <w:t xml:space="preserve"> BIO tags built from observed entity types (O plus B-/I- per type).</w:t>
      </w:r>
    </w:p>
    <w:p>
      <w:pPr>
        <w:pStyle w:val="ListBullet"/>
      </w:pPr>
      <w:r>
        <w:rPr>
          <w:b/>
        </w:rPr>
        <w:t>Sequence length:</w:t>
      </w:r>
      <w:r>
        <w:t xml:space="preserve"> </w:t>
      </w:r>
      <w:r>
        <w:rPr>
          <w:rFonts w:ascii="Consolas" w:hAnsi="Consolas"/>
        </w:rPr>
        <w:t>max_length: 256</w:t>
      </w:r>
      <w:r>
        <w:t>.</w:t>
      </w:r>
    </w:p>
    <w:p>
      <w:pPr>
        <w:pStyle w:val="ListBullet"/>
      </w:pPr>
      <w:r>
        <w:rPr>
          <w:b/>
        </w:rPr>
        <w:t>Configurations benchmarked:</w:t>
      </w:r>
    </w:p>
    <w:p>
      <w:pPr>
        <w:pStyle w:val="ListBullet2"/>
      </w:pPr>
      <w:r>
        <w:t>base — base model + base tokenizer.</w:t>
      </w:r>
    </w:p>
    <w:p>
      <w:pPr>
        <w:pStyle w:val="ListBullet2"/>
      </w:pPr>
      <w:r>
        <w:t>tokenizer — base model + custom tokenizer.</w:t>
      </w:r>
    </w:p>
    <w:p>
      <w:pPr>
        <w:pStyle w:val="ListBullet2"/>
      </w:pPr>
      <w:r>
        <w:t>qlora — QLoRA model + base tokenizer.</w:t>
      </w:r>
    </w:p>
    <w:p>
      <w:pPr>
        <w:pStyle w:val="ListBullet2"/>
      </w:pPr>
      <w:r>
        <w:t>tokenizer+qlora — QLoRA model + custom tokenizer.</w:t>
      </w:r>
    </w:p>
    <w:p>
      <w:pPr>
        <w:pStyle w:val="ListBullet"/>
      </w:pPr>
      <w:r>
        <w:rPr>
          <w:b/>
        </w:rPr>
        <w:t>Benchmark sampling:</w:t>
      </w:r>
      <w:r>
        <w:t xml:space="preserve"> </w:t>
      </w:r>
      <w:r>
        <w:rPr>
          <w:rFonts w:ascii="Consolas" w:hAnsi="Consolas"/>
        </w:rPr>
        <w:t>num_samples: 64</w:t>
      </w:r>
      <w:r>
        <w:t xml:space="preserve"> examples drawn from the test split per configuration.</w:t>
      </w:r>
    </w:p>
    <w:p>
      <w:pPr>
        <w:pStyle w:val="Heading1"/>
      </w:pPr>
      <w:r>
        <w:t>5. Evaluation Metrics</w:t>
      </w:r>
    </w:p>
    <w:p>
      <w:pPr>
        <w:pStyle w:val="ListBullet"/>
      </w:pPr>
      <w:r>
        <w:rPr>
          <w:b/>
        </w:rPr>
        <w:t>Token reduction %</w:t>
      </w:r>
      <w:r>
        <w:t xml:space="preserve"> — relative drop in mean tokens/example, custom vs base tokenizer.</w:t>
      </w:r>
    </w:p>
    <w:p>
      <w:pPr>
        <w:pStyle w:val="ListBullet"/>
      </w:pPr>
      <w:r>
        <w:rPr>
          <w:b/>
        </w:rPr>
        <w:t>Avg / max sequence length</w:t>
      </w:r>
      <w:r>
        <w:t xml:space="preserve"> — token counts per batch.</w:t>
      </w:r>
    </w:p>
    <w:p>
      <w:pPr>
        <w:pStyle w:val="ListBullet"/>
      </w:pPr>
      <w:r>
        <w:rPr>
          <w:b/>
        </w:rPr>
        <w:t>Latency (ms)</w:t>
      </w:r>
      <w:r>
        <w:t xml:space="preserve"> — mean wall-clock per forward pass (2 warmup, 10 timed runs).</w:t>
      </w:r>
    </w:p>
    <w:p>
      <w:pPr>
        <w:pStyle w:val="ListBullet"/>
      </w:pPr>
      <w:r>
        <w:rPr>
          <w:b/>
        </w:rPr>
        <w:t>Throughput (seq/s)</w:t>
      </w:r>
      <w:r>
        <w:t xml:space="preserve"> — sequences processed per second.</w:t>
      </w:r>
    </w:p>
    <w:p>
      <w:pPr>
        <w:pStyle w:val="ListBullet"/>
      </w:pPr>
      <w:r>
        <w:rPr>
          <w:b/>
        </w:rPr>
        <w:t>Tokens/sec</w:t>
      </w:r>
      <w:r>
        <w:t xml:space="preserve"> — token-level processing rate.</w:t>
      </w:r>
    </w:p>
    <w:p>
      <w:pPr>
        <w:pStyle w:val="ListBullet"/>
      </w:pPr>
      <w:r>
        <w:rPr>
          <w:b/>
        </w:rPr>
        <w:t>Peak VRAM (MB)</w:t>
      </w:r>
      <w:r>
        <w:t xml:space="preserve"> — peak CUDA memory since reset.</w:t>
      </w:r>
    </w:p>
    <w:p>
      <w:pPr>
        <w:pStyle w:val="ListBullet"/>
      </w:pPr>
      <w:r>
        <w:rPr>
          <w:b/>
        </w:rPr>
        <w:t>Precision / Recall / F1</w:t>
      </w:r>
      <w:r>
        <w:t xml:space="preserve"> — seqeval entity-level detection quality.</w:t>
      </w:r>
    </w:p>
    <w:p>
      <w:pPr>
        <w:pStyle w:val="Heading1"/>
      </w:pPr>
      <w:r>
        <w:t>6. Methodology</w:t>
      </w:r>
    </w:p>
    <w:p>
      <w:pPr>
        <w:pStyle w:val="ListBullet"/>
      </w:pPr>
      <w:r>
        <w:rPr>
          <w:b/>
        </w:rPr>
        <w:t>Data pipeline:</w:t>
      </w:r>
      <w:r>
        <w:t xml:space="preserve"> load dataset → make seeded splits → resolve span column → tokenize with offsets → emit BIO labels + </w:t>
      </w:r>
      <w:r>
        <w:rPr>
          <w:rFonts w:ascii="Consolas" w:hAnsi="Consolas"/>
        </w:rPr>
        <w:t>label_map.json</w:t>
      </w:r>
      <w:r>
        <w:t>.</w:t>
      </w:r>
    </w:p>
    <w:p>
      <w:pPr>
        <w:pStyle w:val="ListBullet"/>
      </w:pPr>
      <w:r>
        <w:rPr>
          <w:b/>
        </w:rPr>
        <w:t>Tokenizer:</w:t>
      </w:r>
      <w:r>
        <w:t xml:space="preserve"> train HuggingFace BPE (</w:t>
      </w:r>
      <w:r>
        <w:rPr>
          <w:rFonts w:ascii="Consolas" w:hAnsi="Consolas"/>
        </w:rPr>
        <w:t>vocab_size: 32000</w:t>
      </w:r>
      <w:r>
        <w:t xml:space="preserve">, </w:t>
      </w:r>
      <w:r>
        <w:rPr>
          <w:rFonts w:ascii="Consolas" w:hAnsi="Consolas"/>
        </w:rPr>
        <w:t>min_frequency: 2</w:t>
      </w:r>
      <w:r>
        <w:t>) with reserved PII special tokens; evaluate token reduction on the test split.</w:t>
      </w:r>
    </w:p>
    <w:p>
      <w:pPr>
        <w:pStyle w:val="ListBullet"/>
      </w:pPr>
      <w:r>
        <w:rPr>
          <w:b/>
        </w:rPr>
        <w:t>Model components:</w:t>
      </w:r>
      <w:r>
        <w:t xml:space="preserve"> </w:t>
      </w:r>
      <w:r>
        <w:rPr>
          <w:rFonts w:ascii="Consolas" w:hAnsi="Consolas"/>
        </w:rPr>
        <w:t>AutoModelForTokenClassification</w:t>
      </w:r>
      <w:r>
        <w:t xml:space="preserve"> base loaded in 4-bit (nf4, double-quant, bfloat16 compute); LoRA adapters on </w:t>
      </w:r>
      <w:r>
        <w:rPr>
          <w:rFonts w:ascii="Consolas" w:hAnsi="Consolas"/>
        </w:rPr>
        <w:t>q_proj</w:t>
      </w:r>
      <w:r>
        <w:t xml:space="preserve">, </w:t>
      </w:r>
      <w:r>
        <w:rPr>
          <w:rFonts w:ascii="Consolas" w:hAnsi="Consolas"/>
        </w:rPr>
        <w:t>v_proj</w:t>
      </w:r>
      <w:r>
        <w:t>.</w:t>
      </w:r>
    </w:p>
    <w:p>
      <w:pPr>
        <w:pStyle w:val="ListBullet"/>
      </w:pPr>
      <w:r>
        <w:rPr>
          <w:b/>
        </w:rPr>
        <w:t>Training procedure:</w:t>
      </w:r>
      <w:r>
        <w:t xml:space="preserve"> minimal </w:t>
      </w:r>
      <w:r>
        <w:rPr>
          <w:rFonts w:ascii="Consolas" w:hAnsi="Consolas"/>
        </w:rPr>
        <w:t>Trainer</w:t>
      </w:r>
      <w:r>
        <w:t xml:space="preserve"> loop — 3 epochs, batch size 8, lr 2e-4, weight decay 0.01, bf16, eval/save per epoch; only adapter weights saved.</w:t>
      </w:r>
    </w:p>
    <w:p>
      <w:pPr>
        <w:pStyle w:val="ListBullet"/>
      </w:pPr>
      <w:r>
        <w:rPr>
          <w:b/>
        </w:rPr>
        <w:t>Inference / evaluation:</w:t>
      </w:r>
      <w:r>
        <w:t xml:space="preserve"> seqeval precision/recall/F1 on test split; ignore </w:t>
      </w:r>
      <w:r>
        <w:rPr>
          <w:rFonts w:ascii="Consolas" w:hAnsi="Consolas"/>
        </w:rPr>
        <w:t>-100</w:t>
      </w:r>
      <w:r>
        <w:t xml:space="preserve"> positions.</w:t>
      </w:r>
    </w:p>
    <w:p>
      <w:pPr>
        <w:pStyle w:val="ListBullet"/>
      </w:pPr>
      <w:r>
        <w:rPr>
          <w:b/>
        </w:rPr>
        <w:t>Benchmark procedure:</w:t>
      </w:r>
      <w:r>
        <w:t xml:space="preserve"> encode batch per tokenizer, time forward passes, record VRAM and token stats, write JSON; plots + CSV/markdown tables generated.</w:t>
      </w:r>
    </w:p>
    <w:p>
      <w:pPr>
        <w:pStyle w:val="Heading1"/>
      </w:pPr>
      <w:r>
        <w:t>7. Experimental Evaluation</w:t>
      </w:r>
    </w:p>
    <w:p>
      <w:pPr>
        <w:pStyle w:val="Heading2"/>
      </w:pPr>
      <w:r>
        <w:t>Models</w:t>
      </w:r>
    </w:p>
    <w:p>
      <w:pPr>
        <w:pStyle w:val="ListBullet"/>
      </w:pPr>
      <w:r>
        <w:rPr>
          <w:rFonts w:ascii="Consolas" w:hAnsi="Consolas"/>
        </w:rPr>
        <w:t>nvidia/Nemotron-Mini-4B-Instruct</w:t>
      </w:r>
      <w:r>
        <w:t xml:space="preserve"> (base model and base tokenizer).</w:t>
      </w:r>
    </w:p>
    <w:p>
      <w:pPr>
        <w:pStyle w:val="ListBullet"/>
      </w:pPr>
      <w:r>
        <w:t>Custom PII BPE tokenizer (trained in-repo).</w:t>
      </w:r>
    </w:p>
    <w:p>
      <w:pPr>
        <w:pStyle w:val="ListBullet"/>
      </w:pPr>
      <w:r>
        <w:t>QLoRA-adapted variant of the base model.</w:t>
      </w:r>
    </w:p>
    <w:p>
      <w:pPr>
        <w:pStyle w:val="ListBullet"/>
      </w:pPr>
      <w:r>
        <w:t>*Placeholder:* no additional model families are configured in the repository.</w:t>
      </w:r>
    </w:p>
    <w:p>
      <w:pPr>
        <w:pStyle w:val="Heading2"/>
      </w:pPr>
      <w:r>
        <w:t>Protocol</w:t>
      </w:r>
    </w:p>
    <w:p>
      <w:pPr>
        <w:pStyle w:val="ListBullet"/>
      </w:pPr>
      <w:r>
        <w:t xml:space="preserve">Single </w:t>
      </w:r>
      <w:r>
        <w:rPr>
          <w:rFonts w:ascii="Consolas" w:hAnsi="Consolas"/>
        </w:rPr>
        <w:t>config.yaml</w:t>
      </w:r>
      <w:r>
        <w:t xml:space="preserve"> per stage; change one value and re-run that stage.</w:t>
      </w:r>
    </w:p>
    <w:p>
      <w:pPr>
        <w:pStyle w:val="ListBullet"/>
      </w:pPr>
      <w:r>
        <w:t xml:space="preserve">Deterministic splits and </w:t>
      </w:r>
      <w:r>
        <w:rPr>
          <w:rFonts w:ascii="Consolas" w:hAnsi="Consolas"/>
        </w:rPr>
        <w:t>seed: 42</w:t>
      </w:r>
      <w:r>
        <w:t xml:space="preserve"> throughout.</w:t>
      </w:r>
    </w:p>
    <w:p>
      <w:pPr>
        <w:pStyle w:val="ListBullet"/>
      </w:pPr>
      <w:r>
        <w:t xml:space="preserve">Same </w:t>
      </w:r>
      <w:r>
        <w:rPr>
          <w:rFonts w:ascii="Consolas" w:hAnsi="Consolas"/>
        </w:rPr>
        <w:t>max_length: 256</w:t>
      </w:r>
      <w:r>
        <w:t xml:space="preserve"> across configurations.</w:t>
      </w:r>
    </w:p>
    <w:p>
      <w:pPr>
        <w:pStyle w:val="ListBullet"/>
      </w:pPr>
      <w:r>
        <w:t>Identical 64-sample test subset per benchmark case; 2 warmup + 10 timed runs.</w:t>
      </w:r>
    </w:p>
    <w:p>
      <w:pPr>
        <w:pStyle w:val="ListBullet"/>
      </w:pPr>
      <w:r>
        <w:t>Metrics written as JSON for diffable comparison across runs.</w:t>
      </w:r>
    </w:p>
    <w:p>
      <w:pPr>
        <w:pStyle w:val="ListBullet"/>
      </w:pPr>
      <w:r>
        <w:t>CUDA GPU required for 4-bit QLoRA and VRAM benchmarking.</w:t>
      </w:r>
    </w:p>
    <w:p>
      <w:pPr>
        <w:pStyle w:val="Heading1"/>
      </w:pPr>
      <w:r>
        <w:t>8. Results</w:t>
      </w:r>
    </w:p>
    <w:p>
      <w:r>
        <w:rPr>
          <w:i/>
        </w:rPr>
        <w:t>(No results produced — planned artifacts only.)</w:t>
      </w:r>
    </w:p>
    <w:p>
      <w:pPr>
        <w:pStyle w:val="ListBullet"/>
      </w:pPr>
      <w:r>
        <w:t>Expected table: four-configuration comparison (</w:t>
      </w:r>
      <w:r>
        <w:rPr>
          <w:rFonts w:ascii="Consolas" w:hAnsi="Consolas"/>
        </w:rPr>
        <w:t>comparison.csv</w:t>
      </w:r>
      <w:r>
        <w:t xml:space="preserve"> / </w:t>
      </w:r>
      <w:r>
        <w:rPr>
          <w:rFonts w:ascii="Consolas" w:hAnsi="Consolas"/>
        </w:rPr>
        <w:t>comparison.md</w:t>
      </w:r>
      <w:r>
        <w:t>) over latency, throughput, avg seq len, peak VRAM.</w:t>
      </w:r>
    </w:p>
    <w:p>
      <w:pPr>
        <w:pStyle w:val="ListBullet"/>
      </w:pPr>
      <w:r>
        <w:t>Expected table: tokenizer metrics (</w:t>
      </w:r>
      <w:r>
        <w:rPr>
          <w:rFonts w:ascii="Consolas" w:hAnsi="Consolas"/>
        </w:rPr>
        <w:t>tokenizer_metrics.json</w:t>
      </w:r>
      <w:r>
        <w:t>) — base vs custom avg tokens and reduction %.</w:t>
      </w:r>
    </w:p>
    <w:p>
      <w:pPr>
        <w:pStyle w:val="ListBullet"/>
      </w:pPr>
      <w:r>
        <w:t>Expected table: QLoRA test metrics (</w:t>
      </w:r>
      <w:r>
        <w:rPr>
          <w:rFonts w:ascii="Consolas" w:hAnsi="Consolas"/>
        </w:rPr>
        <w:t>metrics.json</w:t>
      </w:r>
      <w:r>
        <w:t>) — precision / recall / F1.</w:t>
      </w:r>
    </w:p>
    <w:p>
      <w:pPr>
        <w:pStyle w:val="ListBullet"/>
      </w:pPr>
      <w:r>
        <w:t>Expected figures (</w:t>
      </w:r>
      <w:r>
        <w:rPr>
          <w:rFonts w:ascii="Consolas" w:hAnsi="Consolas"/>
        </w:rPr>
        <w:t>latency_plots/</w:t>
      </w:r>
      <w:r>
        <w:t>): bar charts of latency, tokens/sec, avg seq len, peak VRAM by configuration.</w:t>
      </w:r>
    </w:p>
    <w:p>
      <w:pPr>
        <w:pStyle w:val="ListBullet"/>
      </w:pPr>
      <w:r>
        <w:t>Planned comparisons: base vs tokenizer (token/latency effect); base vs QLoRA (memory/quality effect); base vs tokenizer+QLoRA (combined effect).</w:t>
      </w:r>
    </w:p>
    <w:p>
      <w:pPr>
        <w:pStyle w:val="Heading1"/>
      </w:pPr>
      <w:r>
        <w:t>9. Analysis</w:t>
      </w:r>
    </w:p>
    <w:p>
      <w:pPr>
        <w:pStyle w:val="ListBullet"/>
      </w:pPr>
      <w:r>
        <w:t>Ablation: isolate tokenizer-only vs QLoRA-only vs combined to attribute gains.</w:t>
      </w:r>
    </w:p>
    <w:p>
      <w:pPr>
        <w:pStyle w:val="ListBullet"/>
      </w:pPr>
      <w:r>
        <w:t xml:space="preserve">Sensitivity: vary </w:t>
      </w:r>
      <w:r>
        <w:rPr>
          <w:rFonts w:ascii="Consolas" w:hAnsi="Consolas"/>
        </w:rPr>
        <w:t>vocab_size</w:t>
      </w:r>
      <w:r>
        <w:t xml:space="preserve">, </w:t>
      </w:r>
      <w:r>
        <w:rPr>
          <w:rFonts w:ascii="Consolas" w:hAnsi="Consolas"/>
        </w:rPr>
        <w:t>min_frequency</w:t>
      </w:r>
      <w:r>
        <w:t xml:space="preserve">, and </w:t>
      </w:r>
      <w:r>
        <w:rPr>
          <w:rFonts w:ascii="Consolas" w:hAnsi="Consolas"/>
        </w:rPr>
        <w:t>max_length</w:t>
      </w:r>
      <w:r>
        <w:t>; observe token reduction and latency.</w:t>
      </w:r>
    </w:p>
    <w:p>
      <w:pPr>
        <w:pStyle w:val="ListBullet"/>
      </w:pPr>
      <w:r>
        <w:t xml:space="preserve">Sensitivity: vary LoRA </w:t>
      </w:r>
      <w:r>
        <w:rPr>
          <w:rFonts w:ascii="Consolas" w:hAnsi="Consolas"/>
        </w:rPr>
        <w:t>r</w:t>
      </w:r>
      <w:r>
        <w:t xml:space="preserve"> / </w:t>
      </w:r>
      <w:r>
        <w:rPr>
          <w:rFonts w:ascii="Consolas" w:hAnsi="Consolas"/>
        </w:rPr>
        <w:t>alpha</w:t>
      </w:r>
      <w:r>
        <w:t xml:space="preserve"> / </w:t>
      </w:r>
      <w:r>
        <w:rPr>
          <w:rFonts w:ascii="Consolas" w:hAnsi="Consolas"/>
        </w:rPr>
        <w:t>dropout</w:t>
      </w:r>
      <w:r>
        <w:t xml:space="preserve"> and target modules for quality/memory trade-off.</w:t>
      </w:r>
    </w:p>
    <w:p>
      <w:pPr>
        <w:pStyle w:val="ListBullet"/>
      </w:pPr>
      <w:r>
        <w:t>Error analysis: per-entity seqeval breakdown (</w:t>
      </w:r>
      <w:r>
        <w:rPr>
          <w:rFonts w:ascii="Consolas" w:hAnsi="Consolas"/>
        </w:rPr>
        <w:t>classification_report</w:t>
      </w:r>
      <w:r>
        <w:t>) to find weak PII types.</w:t>
      </w:r>
    </w:p>
    <w:p>
      <w:pPr>
        <w:pStyle w:val="ListBullet"/>
      </w:pPr>
      <w:r>
        <w:t>*Potential:* effect of swapping the base Nemotron checkpoint on combined efficiency.</w:t>
      </w:r>
    </w:p>
    <w:p>
      <w:pPr>
        <w:pStyle w:val="Heading1"/>
      </w:pPr>
      <w:r>
        <w:t>10. Discussion</w:t>
      </w:r>
    </w:p>
    <w:p>
      <w:pPr>
        <w:pStyle w:val="ListBullet"/>
      </w:pPr>
      <w:r>
        <w:t>Implications: tokenizer + adapter co-design can cut inference cost for enterprise PII workloads.</w:t>
      </w:r>
    </w:p>
    <w:p>
      <w:pPr>
        <w:pStyle w:val="ListBullet"/>
      </w:pPr>
      <w:r>
        <w:t>Strengths: minimal, reproducible, seeded, JSON-diffable; clean separation of efficiency levers.</w:t>
      </w:r>
    </w:p>
    <w:p>
      <w:pPr>
        <w:pStyle w:val="ListBullet"/>
      </w:pPr>
      <w:r>
        <w:t>Strengths: schema-robust preprocessing works across Nemotron-PII and similar corpora.</w:t>
      </w:r>
    </w:p>
    <w:p>
      <w:pPr>
        <w:pStyle w:val="ListBullet"/>
      </w:pPr>
      <w:r>
        <w:t>Risks: gains may be dataset/tokenizer-specific; quality may regress under aggressive tokenization or low LoRA rank.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Single base model and dataset configured.</w:t>
      </w:r>
    </w:p>
    <w:p>
      <w:pPr>
        <w:pStyle w:val="ListBullet"/>
      </w:pPr>
      <w:r>
        <w:t>Small benchmark sample (64 examples per configuration).</w:t>
      </w:r>
    </w:p>
    <w:p>
      <w:pPr>
        <w:pStyle w:val="ListBullet"/>
      </w:pPr>
      <w:r>
        <w:t>Requires a CUDA GPU; CPU path reports zero VRAM.</w:t>
      </w:r>
    </w:p>
    <w:p>
      <w:pPr>
        <w:pStyle w:val="ListBullet"/>
      </w:pPr>
      <w:r>
        <w:t>Graduate-style research scaffold, not a production system.</w:t>
      </w:r>
    </w:p>
    <w:p>
      <w:pPr>
        <w:pStyle w:val="ListBullet"/>
      </w:pPr>
      <w:r>
        <w:t>*Placeholder:* no human evaluation or external baselines included.</w:t>
      </w:r>
    </w:p>
    <w:p>
      <w:pPr>
        <w:pStyle w:val="ListBullet"/>
      </w:pPr>
      <w:r>
        <w:rPr>
          <w:b/>
        </w:rPr>
        <w:t>Security note (repo hygiene):</w:t>
      </w:r>
      <w:r>
        <w:t xml:space="preserve"> </w:t>
      </w:r>
      <w:r>
        <w:rPr>
          <w:rFonts w:ascii="Consolas" w:hAnsi="Consolas"/>
        </w:rPr>
        <w:t>.env.example</w:t>
      </w:r>
      <w:r>
        <w:t xml:space="preserve"> contains what looks like a real </w:t>
      </w:r>
      <w:r>
        <w:rPr>
          <w:rFonts w:ascii="Consolas" w:hAnsi="Consolas"/>
        </w:rPr>
        <w:t>HF_TOKEN</w:t>
      </w:r>
      <w:r>
        <w:t xml:space="preserve"> value — should be a placeholder, not a live secret.</w:t>
      </w:r>
    </w:p>
    <w:p>
      <w:pPr>
        <w:pStyle w:val="Heading1"/>
      </w:pPr>
      <w:r>
        <w:t>12. Conclusion</w:t>
      </w:r>
    </w:p>
    <w:p>
      <w:pPr>
        <w:pStyle w:val="Heading2"/>
      </w:pPr>
      <w:r>
        <w:t>Main Contribution</w:t>
      </w:r>
    </w:p>
    <w:p>
      <w:pPr>
        <w:pStyle w:val="ListBullet"/>
      </w:pPr>
      <w:r>
        <w:t>A reproducible, four-configuration benchmark isolating tokenizer and QLoRA efficiency effects for PII detection.</w:t>
      </w:r>
    </w:p>
    <w:p>
      <w:pPr>
        <w:pStyle w:val="ListBullet"/>
      </w:pPr>
      <w:r>
        <w:t>A PII-specialized tokenizer plus a minimal QLoRA token-classification pipeline.</w:t>
      </w:r>
    </w:p>
    <w:p>
      <w:pPr>
        <w:pStyle w:val="Heading2"/>
      </w:pPr>
      <w:r>
        <w:t>Future Work</w:t>
      </w:r>
    </w:p>
    <w:p>
      <w:pPr>
        <w:pStyle w:val="ListBullet"/>
      </w:pPr>
      <w:r>
        <w:t>Add more base models / tokenizers and larger benchmark samples.</w:t>
      </w:r>
    </w:p>
    <w:p>
      <w:pPr>
        <w:pStyle w:val="ListBullet"/>
      </w:pPr>
      <w:r>
        <w:t>Explore additional PII special tokens and vocabulary sizes.</w:t>
      </w:r>
    </w:p>
    <w:p>
      <w:pPr>
        <w:pStyle w:val="ListBullet"/>
      </w:pPr>
      <w:r>
        <w:t>Tune LoRA configuration and target modules per architecture.</w:t>
      </w:r>
    </w:p>
    <w:p>
      <w:pPr>
        <w:pStyle w:val="ListBullet"/>
      </w:pPr>
      <w:r>
        <w:t>*Potential:* extend metrics to end-to-end cost and energy.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