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07623" w14:textId="5DA54866" w:rsidR="00B46CEE" w:rsidRPr="00460AFC" w:rsidRDefault="00164A49" w:rsidP="00164A49">
      <w:pPr>
        <w:ind w:left="0"/>
        <w:rPr>
          <w:rFonts w:cstheme="minorHAnsi"/>
          <w:b/>
          <w:bCs/>
          <w:sz w:val="32"/>
          <w:szCs w:val="32"/>
          <w:lang w:val="en-GB"/>
        </w:rPr>
      </w:pPr>
      <w:r w:rsidRPr="00460AFC">
        <w:rPr>
          <w:rFonts w:cstheme="minorHAnsi"/>
          <w:b/>
          <w:bCs/>
          <w:sz w:val="32"/>
          <w:szCs w:val="32"/>
          <w:lang w:val="en-GB"/>
        </w:rPr>
        <w:t>Health and economic burden of Long COVID in Kenya</w:t>
      </w:r>
    </w:p>
    <w:p w14:paraId="5FA3F549" w14:textId="709095D5" w:rsidR="00164A49" w:rsidRPr="00460AFC" w:rsidRDefault="00164A49" w:rsidP="00365A1C">
      <w:pPr>
        <w:ind w:left="0"/>
        <w:rPr>
          <w:rFonts w:cstheme="minorHAnsi"/>
          <w:sz w:val="24"/>
          <w:szCs w:val="24"/>
          <w:lang w:val="en-GB"/>
        </w:rPr>
      </w:pPr>
      <w:r w:rsidRPr="00164A49">
        <w:rPr>
          <w:rFonts w:cstheme="minorHAnsi"/>
          <w:sz w:val="24"/>
          <w:szCs w:val="24"/>
          <w:lang w:val="en-GB"/>
        </w:rPr>
        <w:t>Ângela Jornada Ben</w:t>
      </w:r>
      <w:r w:rsidR="00572E26" w:rsidRPr="00460AFC">
        <w:rPr>
          <w:rFonts w:cstheme="minorHAnsi"/>
          <w:sz w:val="24"/>
          <w:szCs w:val="24"/>
          <w:lang w:val="en-GB"/>
        </w:rPr>
        <w:t>*</w:t>
      </w:r>
      <w:r w:rsidR="00A175A0" w:rsidRPr="00460AFC">
        <w:rPr>
          <w:rFonts w:cstheme="minorHAnsi"/>
          <w:sz w:val="24"/>
          <w:szCs w:val="24"/>
          <w:vertAlign w:val="superscript"/>
          <w:lang w:val="en-GB"/>
        </w:rPr>
        <w:t>1,2</w:t>
      </w:r>
      <w:r w:rsidRPr="00164A49">
        <w:rPr>
          <w:rFonts w:cstheme="minorHAnsi"/>
          <w:sz w:val="24"/>
          <w:szCs w:val="24"/>
          <w:lang w:val="en-GB"/>
        </w:rPr>
        <w:t>, Elizabeth Berghuis-Mutubuki</w:t>
      </w:r>
      <w:r w:rsidR="00A175A0" w:rsidRPr="00460AFC">
        <w:rPr>
          <w:rFonts w:cstheme="minorHAnsi"/>
          <w:sz w:val="24"/>
          <w:szCs w:val="24"/>
          <w:vertAlign w:val="superscript"/>
          <w:lang w:val="en-GB"/>
        </w:rPr>
        <w:t>3</w:t>
      </w:r>
      <w:r w:rsidRPr="00164A49">
        <w:rPr>
          <w:rFonts w:cstheme="minorHAnsi"/>
          <w:sz w:val="24"/>
          <w:szCs w:val="24"/>
          <w:lang w:val="en-GB"/>
        </w:rPr>
        <w:t>, Johanna M. van Dongen</w:t>
      </w:r>
      <w:r w:rsidR="00A175A0" w:rsidRPr="00460AFC">
        <w:rPr>
          <w:rFonts w:cstheme="minorHAnsi"/>
          <w:sz w:val="24"/>
          <w:szCs w:val="24"/>
          <w:vertAlign w:val="superscript"/>
          <w:lang w:val="en-GB"/>
        </w:rPr>
        <w:t>2</w:t>
      </w:r>
      <w:r w:rsidRPr="00164A49">
        <w:rPr>
          <w:rFonts w:cstheme="minorHAnsi"/>
          <w:sz w:val="24"/>
          <w:szCs w:val="24"/>
          <w:lang w:val="en-GB"/>
        </w:rPr>
        <w:t xml:space="preserve">, </w:t>
      </w:r>
      <w:proofErr w:type="spellStart"/>
      <w:r w:rsidRPr="00164A49">
        <w:rPr>
          <w:rFonts w:cstheme="minorHAnsi"/>
          <w:sz w:val="24"/>
          <w:szCs w:val="24"/>
          <w:lang w:val="en-GB"/>
        </w:rPr>
        <w:t>Idah</w:t>
      </w:r>
      <w:proofErr w:type="spellEnd"/>
      <w:r w:rsidRPr="00164A49">
        <w:rPr>
          <w:rFonts w:cstheme="minorHAnsi"/>
          <w:sz w:val="24"/>
          <w:szCs w:val="24"/>
          <w:lang w:val="en-GB"/>
        </w:rPr>
        <w:t xml:space="preserve"> Kinya</w:t>
      </w:r>
      <w:r w:rsidR="00A175A0" w:rsidRPr="00460AFC">
        <w:rPr>
          <w:rFonts w:cstheme="minorHAnsi"/>
          <w:sz w:val="24"/>
          <w:szCs w:val="24"/>
          <w:vertAlign w:val="superscript"/>
          <w:lang w:val="en-GB"/>
        </w:rPr>
        <w:t>4</w:t>
      </w:r>
      <w:r w:rsidRPr="00164A49">
        <w:rPr>
          <w:rFonts w:cstheme="minorHAnsi"/>
          <w:sz w:val="24"/>
          <w:szCs w:val="24"/>
          <w:lang w:val="en-GB"/>
        </w:rPr>
        <w:t>, Welcome Wami</w:t>
      </w:r>
      <w:r w:rsidR="00A175A0" w:rsidRPr="00460AFC">
        <w:rPr>
          <w:rFonts w:cstheme="minorHAnsi"/>
          <w:sz w:val="24"/>
          <w:szCs w:val="24"/>
          <w:vertAlign w:val="superscript"/>
          <w:lang w:val="en-GB"/>
        </w:rPr>
        <w:t>1</w:t>
      </w:r>
      <w:r w:rsidRPr="00164A49">
        <w:rPr>
          <w:rFonts w:cstheme="minorHAnsi"/>
          <w:sz w:val="24"/>
          <w:szCs w:val="24"/>
          <w:lang w:val="en-GB"/>
        </w:rPr>
        <w:t>, Gershim Asiki</w:t>
      </w:r>
      <w:r w:rsidR="00C757BA" w:rsidRPr="00460AFC">
        <w:rPr>
          <w:rFonts w:cstheme="minorHAnsi"/>
          <w:sz w:val="24"/>
          <w:szCs w:val="24"/>
          <w:vertAlign w:val="superscript"/>
          <w:lang w:val="en-GB"/>
        </w:rPr>
        <w:t>5</w:t>
      </w:r>
      <w:r w:rsidRPr="00164A49">
        <w:rPr>
          <w:rFonts w:cstheme="minorHAnsi"/>
          <w:sz w:val="24"/>
          <w:szCs w:val="24"/>
          <w:lang w:val="en-GB"/>
        </w:rPr>
        <w:t>, Isaac Kisinagani</w:t>
      </w:r>
      <w:r w:rsidR="00C757BA" w:rsidRPr="00460AFC">
        <w:rPr>
          <w:rFonts w:cstheme="minorHAnsi"/>
          <w:sz w:val="24"/>
          <w:szCs w:val="24"/>
          <w:vertAlign w:val="superscript"/>
          <w:lang w:val="en-GB"/>
        </w:rPr>
        <w:t>5</w:t>
      </w:r>
      <w:r w:rsidRPr="00164A49">
        <w:rPr>
          <w:rFonts w:cstheme="minorHAnsi"/>
          <w:sz w:val="24"/>
          <w:szCs w:val="24"/>
          <w:lang w:val="en-GB"/>
        </w:rPr>
        <w:t xml:space="preserve">, Menno D. de </w:t>
      </w:r>
      <w:r w:rsidR="004D5C67" w:rsidRPr="00460AFC">
        <w:rPr>
          <w:rFonts w:cstheme="minorHAnsi"/>
          <w:sz w:val="24"/>
          <w:szCs w:val="24"/>
          <w:lang w:val="en-GB"/>
        </w:rPr>
        <w:t>J</w:t>
      </w:r>
      <w:r w:rsidRPr="00164A49">
        <w:rPr>
          <w:rFonts w:cstheme="minorHAnsi"/>
          <w:sz w:val="24"/>
          <w:szCs w:val="24"/>
          <w:lang w:val="en-GB"/>
        </w:rPr>
        <w:t>ong</w:t>
      </w:r>
      <w:r w:rsidR="00C757BA" w:rsidRPr="00460AFC">
        <w:rPr>
          <w:rFonts w:cstheme="minorHAnsi"/>
          <w:sz w:val="24"/>
          <w:szCs w:val="24"/>
          <w:vertAlign w:val="superscript"/>
          <w:lang w:val="en-GB"/>
        </w:rPr>
        <w:t>6</w:t>
      </w:r>
      <w:r w:rsidRPr="00164A49">
        <w:rPr>
          <w:rFonts w:cstheme="minorHAnsi"/>
          <w:sz w:val="24"/>
          <w:szCs w:val="24"/>
          <w:lang w:val="en-GB"/>
        </w:rPr>
        <w:t>, Judith E. Bosmans</w:t>
      </w:r>
      <w:r w:rsidR="00A175A0" w:rsidRPr="00460AFC">
        <w:rPr>
          <w:rFonts w:cstheme="minorHAnsi"/>
          <w:sz w:val="24"/>
          <w:szCs w:val="24"/>
          <w:vertAlign w:val="superscript"/>
          <w:lang w:val="en-GB"/>
        </w:rPr>
        <w:t>2</w:t>
      </w:r>
      <w:r w:rsidRPr="00164A49">
        <w:rPr>
          <w:rFonts w:cstheme="minorHAnsi"/>
          <w:sz w:val="24"/>
          <w:szCs w:val="24"/>
          <w:lang w:val="en-GB"/>
        </w:rPr>
        <w:t>, Constance Schultsz</w:t>
      </w:r>
      <w:r w:rsidR="00A175A0" w:rsidRPr="00460AFC">
        <w:rPr>
          <w:rFonts w:cstheme="minorHAnsi"/>
          <w:sz w:val="24"/>
          <w:szCs w:val="24"/>
          <w:vertAlign w:val="superscript"/>
          <w:lang w:val="en-GB"/>
        </w:rPr>
        <w:t>1</w:t>
      </w:r>
      <w:r w:rsidRPr="00164A49">
        <w:rPr>
          <w:rFonts w:cstheme="minorHAnsi"/>
          <w:sz w:val="24"/>
          <w:szCs w:val="24"/>
          <w:lang w:val="en-GB"/>
        </w:rPr>
        <w:t>, Anna Vassal</w:t>
      </w:r>
      <w:r w:rsidR="00C757BA" w:rsidRPr="00460AFC">
        <w:rPr>
          <w:rFonts w:cstheme="minorHAnsi"/>
          <w:sz w:val="24"/>
          <w:szCs w:val="24"/>
          <w:vertAlign w:val="superscript"/>
          <w:lang w:val="en-GB"/>
        </w:rPr>
        <w:t>1,</w:t>
      </w:r>
      <w:r w:rsidR="0050774F" w:rsidRPr="00460AFC">
        <w:rPr>
          <w:rFonts w:cstheme="minorHAnsi"/>
          <w:sz w:val="24"/>
          <w:szCs w:val="24"/>
          <w:vertAlign w:val="superscript"/>
          <w:lang w:val="en-GB"/>
        </w:rPr>
        <w:t>7</w:t>
      </w:r>
    </w:p>
    <w:p w14:paraId="3BD43CBC" w14:textId="3C993918" w:rsidR="004D5C67" w:rsidRPr="00460AFC" w:rsidRDefault="004D5C67" w:rsidP="00365A1C">
      <w:pPr>
        <w:pStyle w:val="NormalWeb"/>
        <w:shd w:val="clear" w:color="auto" w:fill="FFFFFF"/>
        <w:spacing w:before="0" w:beforeAutospacing="0" w:after="0" w:afterAutospacing="0" w:line="360" w:lineRule="auto"/>
        <w:rPr>
          <w:rFonts w:asciiTheme="minorHAnsi" w:hAnsiTheme="minorHAnsi" w:cstheme="minorHAnsi"/>
          <w:lang w:val="en-GB"/>
        </w:rPr>
      </w:pPr>
      <w:r w:rsidRPr="00460AFC">
        <w:rPr>
          <w:rFonts w:asciiTheme="minorHAnsi" w:hAnsiTheme="minorHAnsi" w:cstheme="minorHAnsi"/>
          <w:vertAlign w:val="superscript"/>
          <w:lang w:val="en-GB"/>
        </w:rPr>
        <w:t>1</w:t>
      </w:r>
      <w:r w:rsidRPr="00460AFC">
        <w:rPr>
          <w:rFonts w:asciiTheme="minorHAnsi" w:hAnsiTheme="minorHAnsi" w:cstheme="minorHAnsi"/>
          <w:lang w:val="en-GB"/>
        </w:rPr>
        <w:t xml:space="preserve"> Amsterdam Institute for Global Health and Development, </w:t>
      </w:r>
      <w:proofErr w:type="spellStart"/>
      <w:r w:rsidR="003C6869" w:rsidRPr="00460AFC">
        <w:rPr>
          <w:rFonts w:asciiTheme="minorHAnsi" w:hAnsiTheme="minorHAnsi" w:cstheme="minorHAnsi"/>
          <w:lang w:val="en-GB"/>
        </w:rPr>
        <w:t>Paasheuvelweg</w:t>
      </w:r>
      <w:proofErr w:type="spellEnd"/>
      <w:r w:rsidR="003C6869" w:rsidRPr="00460AFC">
        <w:rPr>
          <w:rFonts w:asciiTheme="minorHAnsi" w:hAnsiTheme="minorHAnsi" w:cstheme="minorHAnsi"/>
          <w:lang w:val="en-GB"/>
        </w:rPr>
        <w:t xml:space="preserve"> 25, </w:t>
      </w:r>
      <w:r w:rsidRPr="00460AFC">
        <w:rPr>
          <w:rFonts w:asciiTheme="minorHAnsi" w:hAnsiTheme="minorHAnsi" w:cstheme="minorHAnsi"/>
          <w:lang w:val="en-GB"/>
        </w:rPr>
        <w:t>1105 BP Amsterdam, The Netherlands</w:t>
      </w:r>
      <w:r w:rsidR="00365A1C" w:rsidRPr="00460AFC">
        <w:rPr>
          <w:rFonts w:asciiTheme="minorHAnsi" w:hAnsiTheme="minorHAnsi" w:cstheme="minorHAnsi"/>
          <w:lang w:val="en-GB"/>
        </w:rPr>
        <w:t>.</w:t>
      </w:r>
    </w:p>
    <w:p w14:paraId="63EE7B5C" w14:textId="77777777" w:rsidR="00A175A0" w:rsidRPr="00460AFC" w:rsidRDefault="00A175A0" w:rsidP="00365A1C">
      <w:pPr>
        <w:autoSpaceDE w:val="0"/>
        <w:autoSpaceDN w:val="0"/>
        <w:adjustRightInd w:val="0"/>
        <w:spacing w:after="0"/>
        <w:ind w:left="0"/>
        <w:rPr>
          <w:rFonts w:cstheme="minorHAnsi"/>
          <w:sz w:val="24"/>
          <w:szCs w:val="24"/>
          <w:lang w:val="en-GB"/>
        </w:rPr>
      </w:pPr>
      <w:r w:rsidRPr="00460AFC">
        <w:rPr>
          <w:rFonts w:cstheme="minorHAnsi"/>
          <w:sz w:val="24"/>
          <w:szCs w:val="24"/>
          <w:vertAlign w:val="superscript"/>
          <w:lang w:val="en-GB"/>
        </w:rPr>
        <w:t>2</w:t>
      </w:r>
      <w:r w:rsidR="00164A49" w:rsidRPr="00460AFC">
        <w:rPr>
          <w:rFonts w:cstheme="minorHAnsi"/>
          <w:sz w:val="24"/>
          <w:szCs w:val="24"/>
          <w:vertAlign w:val="superscript"/>
          <w:lang w:val="en-GB"/>
        </w:rPr>
        <w:t xml:space="preserve"> </w:t>
      </w:r>
      <w:r w:rsidR="00164A49" w:rsidRPr="00460AFC">
        <w:rPr>
          <w:rFonts w:cstheme="minorHAnsi"/>
          <w:sz w:val="24"/>
          <w:szCs w:val="24"/>
          <w:lang w:val="en-GB"/>
        </w:rPr>
        <w:t xml:space="preserve">Department of Health Sciences, Faculty of Science, Vrije Universiteit Amsterdam, Amsterdam Public Health research institute, </w:t>
      </w:r>
      <w:r w:rsidR="00164A49" w:rsidRPr="00460AFC">
        <w:rPr>
          <w:rFonts w:cstheme="minorHAnsi"/>
          <w:sz w:val="24"/>
          <w:szCs w:val="24"/>
          <w:shd w:val="clear" w:color="auto" w:fill="FFFFFF"/>
          <w:lang w:val="en-GB"/>
        </w:rPr>
        <w:t xml:space="preserve">Van der Boechorststraat 7, 1081 BT Amsterdam, </w:t>
      </w:r>
      <w:r w:rsidR="00164A49" w:rsidRPr="00460AFC">
        <w:rPr>
          <w:rFonts w:cstheme="minorHAnsi"/>
          <w:sz w:val="24"/>
          <w:szCs w:val="24"/>
          <w:lang w:val="en-GB"/>
        </w:rPr>
        <w:t>The Netherlands.</w:t>
      </w:r>
    </w:p>
    <w:p w14:paraId="545433B8" w14:textId="4B2F7823" w:rsidR="00A175A0" w:rsidRPr="00460AFC" w:rsidRDefault="00A175A0" w:rsidP="00365A1C">
      <w:pPr>
        <w:autoSpaceDE w:val="0"/>
        <w:autoSpaceDN w:val="0"/>
        <w:adjustRightInd w:val="0"/>
        <w:spacing w:after="0"/>
        <w:ind w:left="0"/>
        <w:rPr>
          <w:rFonts w:cstheme="minorHAnsi"/>
          <w:sz w:val="24"/>
          <w:szCs w:val="24"/>
          <w:lang w:val="en-GB"/>
        </w:rPr>
      </w:pPr>
      <w:r w:rsidRPr="00460AFC">
        <w:rPr>
          <w:rFonts w:cstheme="minorHAnsi"/>
          <w:sz w:val="24"/>
          <w:szCs w:val="24"/>
          <w:vertAlign w:val="superscript"/>
          <w:lang w:val="en-GB"/>
        </w:rPr>
        <w:t>3</w:t>
      </w:r>
      <w:r w:rsidRPr="00460AFC">
        <w:rPr>
          <w:rFonts w:cstheme="minorHAnsi"/>
          <w:sz w:val="24"/>
          <w:szCs w:val="24"/>
          <w:lang w:val="en-GB"/>
        </w:rPr>
        <w:t xml:space="preserve"> National Institute for Public Health and the Environment (RIVM), </w:t>
      </w:r>
      <w:proofErr w:type="spellStart"/>
      <w:r w:rsidRPr="00460AFC">
        <w:rPr>
          <w:rFonts w:cstheme="minorHAnsi"/>
          <w:sz w:val="24"/>
          <w:szCs w:val="24"/>
          <w:lang w:val="en-GB"/>
        </w:rPr>
        <w:t>Center</w:t>
      </w:r>
      <w:proofErr w:type="spellEnd"/>
      <w:r w:rsidRPr="00460AFC">
        <w:rPr>
          <w:rFonts w:cstheme="minorHAnsi"/>
          <w:sz w:val="24"/>
          <w:szCs w:val="24"/>
          <w:lang w:val="en-GB"/>
        </w:rPr>
        <w:t xml:space="preserve"> for Infectious Disease Control, </w:t>
      </w:r>
      <w:proofErr w:type="spellStart"/>
      <w:r w:rsidR="00711863" w:rsidRPr="00460AFC">
        <w:rPr>
          <w:rFonts w:cstheme="minorHAnsi"/>
          <w:sz w:val="24"/>
          <w:szCs w:val="24"/>
          <w:lang w:val="en-GB"/>
        </w:rPr>
        <w:t>Antonie</w:t>
      </w:r>
      <w:proofErr w:type="spellEnd"/>
      <w:r w:rsidR="00711863" w:rsidRPr="00460AFC">
        <w:rPr>
          <w:rFonts w:cstheme="minorHAnsi"/>
          <w:sz w:val="24"/>
          <w:szCs w:val="24"/>
          <w:lang w:val="en-GB"/>
        </w:rPr>
        <w:t xml:space="preserve"> van </w:t>
      </w:r>
      <w:proofErr w:type="spellStart"/>
      <w:r w:rsidR="00711863" w:rsidRPr="00460AFC">
        <w:rPr>
          <w:rFonts w:cstheme="minorHAnsi"/>
          <w:sz w:val="24"/>
          <w:szCs w:val="24"/>
          <w:lang w:val="en-GB"/>
        </w:rPr>
        <w:t>Leeuwenhoeklaan</w:t>
      </w:r>
      <w:proofErr w:type="spellEnd"/>
      <w:r w:rsidR="00711863" w:rsidRPr="00460AFC">
        <w:rPr>
          <w:rFonts w:cstheme="minorHAnsi"/>
          <w:sz w:val="24"/>
          <w:szCs w:val="24"/>
          <w:lang w:val="en-GB"/>
        </w:rPr>
        <w:t xml:space="preserve"> 9, </w:t>
      </w:r>
      <w:r w:rsidR="003C6869" w:rsidRPr="00460AFC">
        <w:rPr>
          <w:rFonts w:cstheme="minorHAnsi"/>
          <w:sz w:val="24"/>
          <w:szCs w:val="24"/>
          <w:lang w:val="en-GB"/>
        </w:rPr>
        <w:t xml:space="preserve">3721 MA </w:t>
      </w:r>
      <w:proofErr w:type="spellStart"/>
      <w:r w:rsidRPr="00460AFC">
        <w:rPr>
          <w:rFonts w:cstheme="minorHAnsi"/>
          <w:sz w:val="24"/>
          <w:szCs w:val="24"/>
          <w:lang w:val="en-GB"/>
        </w:rPr>
        <w:t>Bilthoven</w:t>
      </w:r>
      <w:proofErr w:type="spellEnd"/>
      <w:r w:rsidRPr="00460AFC">
        <w:rPr>
          <w:rFonts w:cstheme="minorHAnsi"/>
          <w:sz w:val="24"/>
          <w:szCs w:val="24"/>
          <w:lang w:val="en-GB"/>
        </w:rPr>
        <w:t xml:space="preserve">, </w:t>
      </w:r>
      <w:r w:rsidR="00325165" w:rsidRPr="00460AFC">
        <w:rPr>
          <w:rFonts w:cstheme="minorHAnsi"/>
          <w:sz w:val="24"/>
          <w:szCs w:val="24"/>
          <w:lang w:val="en-GB"/>
        </w:rPr>
        <w:t>T</w:t>
      </w:r>
      <w:r w:rsidRPr="00460AFC">
        <w:rPr>
          <w:rFonts w:cstheme="minorHAnsi"/>
          <w:sz w:val="24"/>
          <w:szCs w:val="24"/>
          <w:lang w:val="en-GB"/>
        </w:rPr>
        <w:t>he Netherlands.</w:t>
      </w:r>
    </w:p>
    <w:p w14:paraId="04CC763D" w14:textId="3D17AF0C" w:rsidR="00C757BA" w:rsidRPr="00460AFC" w:rsidRDefault="00C757BA" w:rsidP="00365A1C">
      <w:pPr>
        <w:autoSpaceDE w:val="0"/>
        <w:autoSpaceDN w:val="0"/>
        <w:adjustRightInd w:val="0"/>
        <w:spacing w:after="0"/>
        <w:ind w:left="0"/>
        <w:rPr>
          <w:rFonts w:cstheme="minorHAnsi"/>
          <w:sz w:val="24"/>
          <w:szCs w:val="24"/>
          <w:lang w:val="en-GB"/>
        </w:rPr>
      </w:pPr>
      <w:r w:rsidRPr="00460AFC">
        <w:rPr>
          <w:rFonts w:cstheme="minorHAnsi"/>
          <w:sz w:val="24"/>
          <w:szCs w:val="24"/>
          <w:vertAlign w:val="superscript"/>
          <w:lang w:val="en-GB"/>
        </w:rPr>
        <w:t>4</w:t>
      </w:r>
      <w:r w:rsidRPr="00460AFC">
        <w:rPr>
          <w:rFonts w:cstheme="minorHAnsi"/>
          <w:sz w:val="24"/>
          <w:szCs w:val="24"/>
          <w:lang w:val="en-GB"/>
        </w:rPr>
        <w:t xml:space="preserve"> Kenyatta National Hospital, </w:t>
      </w:r>
      <w:r w:rsidR="00365A1C" w:rsidRPr="00460AFC">
        <w:rPr>
          <w:rFonts w:cstheme="minorHAnsi"/>
          <w:sz w:val="24"/>
          <w:szCs w:val="24"/>
          <w:lang w:val="en-GB"/>
        </w:rPr>
        <w:t>Hospital Road, Upper Hill, Nairobi 00202, Ke</w:t>
      </w:r>
      <w:r w:rsidR="006901C0">
        <w:rPr>
          <w:rFonts w:cstheme="minorHAnsi"/>
          <w:sz w:val="24"/>
          <w:szCs w:val="24"/>
          <w:lang w:val="en-GB"/>
        </w:rPr>
        <w:t>n</w:t>
      </w:r>
      <w:r w:rsidR="00365A1C" w:rsidRPr="00460AFC">
        <w:rPr>
          <w:rFonts w:cstheme="minorHAnsi"/>
          <w:sz w:val="24"/>
          <w:szCs w:val="24"/>
          <w:lang w:val="en-GB"/>
        </w:rPr>
        <w:t>ya</w:t>
      </w:r>
    </w:p>
    <w:p w14:paraId="10923620" w14:textId="48BFDD59" w:rsidR="00C757BA" w:rsidRPr="00460AFC" w:rsidRDefault="00C757BA" w:rsidP="00365A1C">
      <w:pPr>
        <w:autoSpaceDE w:val="0"/>
        <w:autoSpaceDN w:val="0"/>
        <w:adjustRightInd w:val="0"/>
        <w:spacing w:after="0"/>
        <w:ind w:left="0"/>
        <w:rPr>
          <w:rFonts w:cstheme="minorHAnsi"/>
          <w:sz w:val="24"/>
          <w:szCs w:val="24"/>
          <w:lang w:val="en-GB"/>
        </w:rPr>
      </w:pPr>
      <w:r w:rsidRPr="00460AFC">
        <w:rPr>
          <w:rFonts w:cstheme="minorHAnsi"/>
          <w:sz w:val="24"/>
          <w:szCs w:val="24"/>
          <w:shd w:val="clear" w:color="auto" w:fill="FFFFFF"/>
          <w:vertAlign w:val="superscript"/>
          <w:lang w:val="en-GB"/>
        </w:rPr>
        <w:t>5</w:t>
      </w:r>
      <w:r w:rsidRPr="00460AFC">
        <w:rPr>
          <w:rFonts w:cstheme="minorHAnsi"/>
          <w:sz w:val="24"/>
          <w:szCs w:val="24"/>
          <w:shd w:val="clear" w:color="auto" w:fill="FFFFFF"/>
          <w:lang w:val="en-GB"/>
        </w:rPr>
        <w:t xml:space="preserve"> African Population and Health Research </w:t>
      </w:r>
      <w:proofErr w:type="spellStart"/>
      <w:r w:rsidRPr="00460AFC">
        <w:rPr>
          <w:rFonts w:cstheme="minorHAnsi"/>
          <w:sz w:val="24"/>
          <w:szCs w:val="24"/>
          <w:shd w:val="clear" w:color="auto" w:fill="FFFFFF"/>
          <w:lang w:val="en-GB"/>
        </w:rPr>
        <w:t>Center</w:t>
      </w:r>
      <w:proofErr w:type="spellEnd"/>
      <w:r w:rsidRPr="00460AFC">
        <w:rPr>
          <w:rFonts w:cstheme="minorHAnsi"/>
          <w:sz w:val="24"/>
          <w:szCs w:val="24"/>
          <w:shd w:val="clear" w:color="auto" w:fill="FFFFFF"/>
          <w:lang w:val="en-GB"/>
        </w:rPr>
        <w:t xml:space="preserve">, </w:t>
      </w:r>
      <w:r w:rsidR="00365A1C" w:rsidRPr="00460AFC">
        <w:rPr>
          <w:rFonts w:cstheme="minorHAnsi"/>
          <w:sz w:val="24"/>
          <w:szCs w:val="24"/>
          <w:shd w:val="clear" w:color="auto" w:fill="FFFFFF"/>
          <w:lang w:val="en-GB"/>
        </w:rPr>
        <w:t xml:space="preserve">APHRC Campus, 2nd Floor, Manga Close, Off </w:t>
      </w:r>
      <w:proofErr w:type="spellStart"/>
      <w:r w:rsidR="00365A1C" w:rsidRPr="00460AFC">
        <w:rPr>
          <w:rFonts w:cstheme="minorHAnsi"/>
          <w:sz w:val="24"/>
          <w:szCs w:val="24"/>
          <w:shd w:val="clear" w:color="auto" w:fill="FFFFFF"/>
          <w:lang w:val="en-GB"/>
        </w:rPr>
        <w:t>Kirawa</w:t>
      </w:r>
      <w:proofErr w:type="spellEnd"/>
      <w:r w:rsidR="00365A1C" w:rsidRPr="00460AFC">
        <w:rPr>
          <w:rFonts w:cstheme="minorHAnsi"/>
          <w:sz w:val="24"/>
          <w:szCs w:val="24"/>
          <w:shd w:val="clear" w:color="auto" w:fill="FFFFFF"/>
          <w:lang w:val="en-GB"/>
        </w:rPr>
        <w:t xml:space="preserve"> Road, Nairobi, Kenya</w:t>
      </w:r>
      <w:r w:rsidRPr="00460AFC">
        <w:rPr>
          <w:rFonts w:cstheme="minorHAnsi"/>
          <w:sz w:val="24"/>
          <w:szCs w:val="24"/>
          <w:shd w:val="clear" w:color="auto" w:fill="FFFFFF"/>
          <w:lang w:val="en-GB"/>
        </w:rPr>
        <w:t>.</w:t>
      </w:r>
    </w:p>
    <w:p w14:paraId="44D08C62" w14:textId="46FDCFCE" w:rsidR="00164A49" w:rsidRPr="00460AFC" w:rsidRDefault="00C757BA" w:rsidP="00F87018">
      <w:pPr>
        <w:autoSpaceDE w:val="0"/>
        <w:autoSpaceDN w:val="0"/>
        <w:adjustRightInd w:val="0"/>
        <w:spacing w:after="0"/>
        <w:ind w:left="0"/>
        <w:rPr>
          <w:rFonts w:cstheme="minorHAnsi"/>
          <w:sz w:val="24"/>
          <w:szCs w:val="24"/>
          <w:lang w:val="en-GB"/>
        </w:rPr>
      </w:pPr>
      <w:r w:rsidRPr="00460AFC">
        <w:rPr>
          <w:rFonts w:cstheme="minorHAnsi"/>
          <w:sz w:val="24"/>
          <w:szCs w:val="24"/>
          <w:shd w:val="clear" w:color="auto" w:fill="FFFFFF"/>
          <w:vertAlign w:val="superscript"/>
          <w:lang w:val="en-GB"/>
        </w:rPr>
        <w:t>6</w:t>
      </w:r>
      <w:r w:rsidR="004D5C67" w:rsidRPr="00460AFC">
        <w:rPr>
          <w:rFonts w:cstheme="minorHAnsi"/>
          <w:sz w:val="24"/>
          <w:szCs w:val="24"/>
          <w:shd w:val="clear" w:color="auto" w:fill="FFFFFF"/>
          <w:lang w:val="en-GB"/>
        </w:rPr>
        <w:t xml:space="preserve"> Department of Medical Microbiology, Academic Medical </w:t>
      </w:r>
      <w:proofErr w:type="spellStart"/>
      <w:r w:rsidR="004D5C67" w:rsidRPr="00460AFC">
        <w:rPr>
          <w:rFonts w:cstheme="minorHAnsi"/>
          <w:sz w:val="24"/>
          <w:szCs w:val="24"/>
          <w:shd w:val="clear" w:color="auto" w:fill="FFFFFF"/>
          <w:lang w:val="en-GB"/>
        </w:rPr>
        <w:t>Center</w:t>
      </w:r>
      <w:proofErr w:type="spellEnd"/>
      <w:r w:rsidR="004D5C67" w:rsidRPr="00460AFC">
        <w:rPr>
          <w:rFonts w:cstheme="minorHAnsi"/>
          <w:sz w:val="24"/>
          <w:szCs w:val="24"/>
          <w:shd w:val="clear" w:color="auto" w:fill="FFFFFF"/>
          <w:lang w:val="en-GB"/>
        </w:rPr>
        <w:t xml:space="preserve">, University of Amsterdam, </w:t>
      </w:r>
      <w:r w:rsidR="003C6869" w:rsidRPr="00460AFC">
        <w:rPr>
          <w:rFonts w:cstheme="minorHAnsi"/>
          <w:sz w:val="24"/>
          <w:szCs w:val="24"/>
          <w:shd w:val="clear" w:color="auto" w:fill="FFFFFF"/>
          <w:lang w:val="en-GB"/>
        </w:rPr>
        <w:t xml:space="preserve">De Boelelaan </w:t>
      </w:r>
      <w:r w:rsidR="00711863" w:rsidRPr="00460AFC">
        <w:rPr>
          <w:rFonts w:cstheme="minorHAnsi"/>
          <w:sz w:val="24"/>
          <w:szCs w:val="24"/>
          <w:shd w:val="clear" w:color="auto" w:fill="FFFFFF"/>
          <w:lang w:val="en-GB"/>
        </w:rPr>
        <w:t xml:space="preserve">1118, </w:t>
      </w:r>
      <w:r w:rsidR="003C6869" w:rsidRPr="00460AFC">
        <w:rPr>
          <w:rFonts w:cstheme="minorHAnsi"/>
          <w:sz w:val="24"/>
          <w:szCs w:val="24"/>
          <w:shd w:val="clear" w:color="auto" w:fill="FFFFFF"/>
          <w:lang w:val="en-GB"/>
        </w:rPr>
        <w:t>1081 HV Amsterdam, T</w:t>
      </w:r>
      <w:r w:rsidR="004D5C67" w:rsidRPr="00460AFC">
        <w:rPr>
          <w:rFonts w:cstheme="minorHAnsi"/>
          <w:sz w:val="24"/>
          <w:szCs w:val="24"/>
          <w:shd w:val="clear" w:color="auto" w:fill="FFFFFF"/>
          <w:lang w:val="en-GB"/>
        </w:rPr>
        <w:t>he Netherlands.</w:t>
      </w:r>
    </w:p>
    <w:p w14:paraId="1219F259" w14:textId="4E393270" w:rsidR="00F87018" w:rsidRPr="00164A49" w:rsidRDefault="00F87018" w:rsidP="00F87018">
      <w:pPr>
        <w:autoSpaceDE w:val="0"/>
        <w:autoSpaceDN w:val="0"/>
        <w:adjustRightInd w:val="0"/>
        <w:spacing w:after="0"/>
        <w:ind w:left="0"/>
        <w:rPr>
          <w:rFonts w:cstheme="minorHAnsi"/>
          <w:sz w:val="24"/>
          <w:szCs w:val="24"/>
          <w:lang w:val="en-GB"/>
        </w:rPr>
      </w:pPr>
      <w:r w:rsidRPr="00460AFC">
        <w:rPr>
          <w:rFonts w:cstheme="minorHAnsi"/>
          <w:sz w:val="24"/>
          <w:szCs w:val="24"/>
          <w:vertAlign w:val="superscript"/>
          <w:lang w:val="en-GB"/>
        </w:rPr>
        <w:t>7</w:t>
      </w:r>
      <w:r w:rsidRPr="00460AFC">
        <w:rPr>
          <w:rFonts w:cstheme="minorHAnsi"/>
          <w:sz w:val="24"/>
          <w:szCs w:val="24"/>
          <w:lang w:val="en-GB"/>
        </w:rPr>
        <w:t xml:space="preserve"> Department of Global Health, London School of Hygiene and Tropical Medicine, Tavistock Place 15-17, WC1 H 9SH London, United Kingdom.</w:t>
      </w:r>
    </w:p>
    <w:p w14:paraId="34ABB5BC" w14:textId="77777777" w:rsidR="00572E26" w:rsidRPr="00460AFC" w:rsidRDefault="00572E26" w:rsidP="00572E26">
      <w:pPr>
        <w:ind w:left="0"/>
        <w:rPr>
          <w:sz w:val="24"/>
          <w:szCs w:val="24"/>
          <w:lang w:val="en-GB"/>
        </w:rPr>
      </w:pPr>
    </w:p>
    <w:p w14:paraId="6848A2BC" w14:textId="75D10323" w:rsidR="00572E26" w:rsidRPr="00176555" w:rsidRDefault="00572E26" w:rsidP="00572E26">
      <w:pPr>
        <w:ind w:left="0"/>
        <w:rPr>
          <w:b/>
          <w:bCs/>
          <w:sz w:val="24"/>
          <w:szCs w:val="24"/>
          <w:lang w:val="pt-BR"/>
        </w:rPr>
      </w:pPr>
      <w:r w:rsidRPr="00176555">
        <w:rPr>
          <w:b/>
          <w:bCs/>
          <w:sz w:val="24"/>
          <w:szCs w:val="24"/>
          <w:lang w:val="pt-BR"/>
        </w:rPr>
        <w:t>*Corresponding author:</w:t>
      </w:r>
    </w:p>
    <w:p w14:paraId="048BB452" w14:textId="415BAA08" w:rsidR="00572E26" w:rsidRPr="00460AFC" w:rsidRDefault="00572E26" w:rsidP="00572E26">
      <w:pPr>
        <w:pStyle w:val="NormalWeb"/>
        <w:shd w:val="clear" w:color="auto" w:fill="FFFFFF"/>
        <w:spacing w:before="0" w:beforeAutospacing="0" w:after="0" w:afterAutospacing="0" w:line="360" w:lineRule="auto"/>
        <w:rPr>
          <w:rFonts w:asciiTheme="minorHAnsi" w:hAnsiTheme="minorHAnsi" w:cstheme="minorHAnsi"/>
          <w:lang w:val="en-GB"/>
        </w:rPr>
      </w:pPr>
      <w:r w:rsidRPr="00176555">
        <w:rPr>
          <w:rFonts w:asciiTheme="minorHAnsi" w:eastAsiaTheme="minorEastAsia" w:hAnsiTheme="minorHAnsi" w:cstheme="minorHAnsi"/>
          <w:lang w:val="pt-BR"/>
        </w:rPr>
        <w:t>Ângela Jornada Ben</w:t>
      </w:r>
      <w:r w:rsidRPr="00176555">
        <w:rPr>
          <w:rFonts w:cstheme="minorHAnsi"/>
          <w:lang w:val="pt-BR"/>
        </w:rPr>
        <w:t xml:space="preserve">. </w:t>
      </w:r>
      <w:r w:rsidRPr="00460AFC">
        <w:rPr>
          <w:rFonts w:asciiTheme="minorHAnsi" w:hAnsiTheme="minorHAnsi" w:cstheme="minorHAnsi"/>
          <w:lang w:val="en-GB"/>
        </w:rPr>
        <w:t xml:space="preserve">Amsterdam Institute for Global Health and Development, </w:t>
      </w:r>
      <w:proofErr w:type="spellStart"/>
      <w:r w:rsidRPr="00460AFC">
        <w:rPr>
          <w:rFonts w:asciiTheme="minorHAnsi" w:hAnsiTheme="minorHAnsi" w:cstheme="minorHAnsi"/>
          <w:lang w:val="en-GB"/>
        </w:rPr>
        <w:t>Paasheuvelweg</w:t>
      </w:r>
      <w:proofErr w:type="spellEnd"/>
      <w:r w:rsidRPr="00460AFC">
        <w:rPr>
          <w:rFonts w:asciiTheme="minorHAnsi" w:hAnsiTheme="minorHAnsi" w:cstheme="minorHAnsi"/>
          <w:lang w:val="en-GB"/>
        </w:rPr>
        <w:t xml:space="preserve"> 25, 1105 BP Amsterdam, The Netherlands. </w:t>
      </w:r>
      <w:hyperlink r:id="rId5" w:history="1">
        <w:r w:rsidRPr="00460AFC">
          <w:rPr>
            <w:rStyle w:val="Hyperlink"/>
            <w:rFonts w:asciiTheme="minorHAnsi" w:hAnsiTheme="minorHAnsi" w:cstheme="minorHAnsi"/>
            <w:lang w:val="en-GB"/>
          </w:rPr>
          <w:t>a.jornadaben@aighd.org</w:t>
        </w:r>
      </w:hyperlink>
    </w:p>
    <w:p w14:paraId="05C131ED" w14:textId="77777777" w:rsidR="00572E26" w:rsidRPr="00460AFC" w:rsidRDefault="00572E26" w:rsidP="00572E26">
      <w:pPr>
        <w:pStyle w:val="NormalWeb"/>
        <w:shd w:val="clear" w:color="auto" w:fill="FFFFFF"/>
        <w:spacing w:before="0" w:beforeAutospacing="0" w:after="0" w:afterAutospacing="0" w:line="360" w:lineRule="auto"/>
        <w:rPr>
          <w:rFonts w:asciiTheme="minorHAnsi" w:hAnsiTheme="minorHAnsi" w:cstheme="minorHAnsi"/>
          <w:lang w:val="en-GB"/>
        </w:rPr>
      </w:pPr>
    </w:p>
    <w:p w14:paraId="6F9B3025" w14:textId="7E915772" w:rsidR="00D62958" w:rsidRPr="00460AFC" w:rsidRDefault="00D62958" w:rsidP="00572E26">
      <w:pPr>
        <w:ind w:left="0"/>
        <w:rPr>
          <w:sz w:val="24"/>
          <w:szCs w:val="24"/>
          <w:lang w:val="en-GB"/>
        </w:rPr>
      </w:pPr>
      <w:r w:rsidRPr="00460AFC">
        <w:rPr>
          <w:sz w:val="24"/>
          <w:szCs w:val="24"/>
          <w:lang w:val="en-GB"/>
        </w:rPr>
        <w:br w:type="page"/>
      </w:r>
    </w:p>
    <w:p w14:paraId="350BF7D8" w14:textId="77777777" w:rsidR="00D62958" w:rsidRPr="00460AFC" w:rsidRDefault="00164A49" w:rsidP="00A175A0">
      <w:pPr>
        <w:ind w:left="0"/>
        <w:rPr>
          <w:b/>
          <w:bCs/>
          <w:sz w:val="28"/>
          <w:szCs w:val="28"/>
          <w:lang w:val="en-GB"/>
        </w:rPr>
      </w:pPr>
      <w:r w:rsidRPr="00460AFC">
        <w:rPr>
          <w:b/>
          <w:bCs/>
          <w:sz w:val="28"/>
          <w:szCs w:val="28"/>
          <w:lang w:val="en-GB"/>
        </w:rPr>
        <w:lastRenderedPageBreak/>
        <w:t>Abstract</w:t>
      </w:r>
    </w:p>
    <w:p w14:paraId="646F2018" w14:textId="77777777" w:rsidR="001A63AE" w:rsidRPr="00460AFC" w:rsidRDefault="00D62958" w:rsidP="001A63AE">
      <w:pPr>
        <w:ind w:left="0"/>
        <w:rPr>
          <w:rFonts w:cstheme="minorHAnsi"/>
          <w:sz w:val="24"/>
          <w:szCs w:val="24"/>
          <w:lang w:val="en-GB"/>
        </w:rPr>
      </w:pPr>
      <w:r w:rsidRPr="00460AFC">
        <w:rPr>
          <w:rFonts w:cstheme="minorHAnsi"/>
          <w:b/>
          <w:bCs/>
          <w:sz w:val="24"/>
          <w:szCs w:val="24"/>
          <w:lang w:val="en-GB"/>
        </w:rPr>
        <w:t>Objectives:</w:t>
      </w:r>
      <w:r w:rsidR="002A58D3" w:rsidRPr="00460AFC">
        <w:rPr>
          <w:rFonts w:cstheme="minorHAnsi"/>
          <w:sz w:val="24"/>
          <w:szCs w:val="24"/>
          <w:lang w:val="en-GB"/>
        </w:rPr>
        <w:t xml:space="preserve"> To estimate the </w:t>
      </w:r>
      <w:r w:rsidR="002A58D3" w:rsidRPr="00460AFC">
        <w:rPr>
          <w:rFonts w:cstheme="minorHAnsi"/>
          <w:sz w:val="24"/>
          <w:szCs w:val="24"/>
          <w:shd w:val="clear" w:color="auto" w:fill="FFFFFF"/>
          <w:lang w:val="en-GB"/>
        </w:rPr>
        <w:t>quality-adjusted life-years (QALYs) loss, disability-adjusted life years (DALYs), and productivity loss due to</w:t>
      </w:r>
      <w:r w:rsidR="002A58D3" w:rsidRPr="00460AFC">
        <w:rPr>
          <w:rFonts w:cstheme="minorHAnsi"/>
          <w:sz w:val="24"/>
          <w:szCs w:val="24"/>
          <w:lang w:val="en-GB"/>
        </w:rPr>
        <w:t xml:space="preserve"> Long COVID in Kenya.</w:t>
      </w:r>
    </w:p>
    <w:p w14:paraId="2CE4BF8D" w14:textId="7325CAA6" w:rsidR="001A63AE" w:rsidRPr="00460AFC" w:rsidRDefault="00D62958" w:rsidP="001A63AE">
      <w:pPr>
        <w:ind w:left="0"/>
        <w:rPr>
          <w:rFonts w:cstheme="minorHAnsi"/>
          <w:sz w:val="24"/>
          <w:szCs w:val="24"/>
          <w:lang w:val="en-GB"/>
        </w:rPr>
      </w:pPr>
      <w:r w:rsidRPr="00460AFC">
        <w:rPr>
          <w:b/>
          <w:bCs/>
          <w:sz w:val="24"/>
          <w:szCs w:val="24"/>
          <w:lang w:val="en-GB"/>
        </w:rPr>
        <w:t>Methods:</w:t>
      </w:r>
      <w:r w:rsidR="0038683A" w:rsidRPr="00460AFC">
        <w:rPr>
          <w:sz w:val="24"/>
          <w:szCs w:val="24"/>
          <w:lang w:val="en-GB"/>
        </w:rPr>
        <w:t xml:space="preserve"> </w:t>
      </w:r>
      <w:r w:rsidR="001A63AE" w:rsidRPr="00460AFC">
        <w:rPr>
          <w:sz w:val="24"/>
          <w:szCs w:val="24"/>
          <w:lang w:val="en-GB"/>
        </w:rPr>
        <w:t xml:space="preserve">A Markov model was developed with 5 health states, a 12-week cycle, and a </w:t>
      </w:r>
      <w:r w:rsidR="009F1545">
        <w:rPr>
          <w:sz w:val="24"/>
          <w:szCs w:val="24"/>
          <w:lang w:val="en-GB"/>
        </w:rPr>
        <w:t xml:space="preserve">10-year </w:t>
      </w:r>
      <w:r w:rsidR="001A63AE" w:rsidRPr="00460AFC">
        <w:rPr>
          <w:sz w:val="24"/>
          <w:szCs w:val="24"/>
          <w:lang w:val="en-GB"/>
        </w:rPr>
        <w:t xml:space="preserve">time horizon. </w:t>
      </w:r>
      <w:r w:rsidR="001A63AE" w:rsidRPr="00460AFC">
        <w:rPr>
          <w:rFonts w:ascii="Calibri" w:eastAsia="Calibri" w:hAnsi="Calibri" w:cs="Calibri"/>
          <w:sz w:val="24"/>
          <w:szCs w:val="24"/>
          <w:lang w:val="en-GB"/>
        </w:rPr>
        <w:t>The target population</w:t>
      </w:r>
      <w:r w:rsidR="00532D80" w:rsidRPr="00460AFC">
        <w:rPr>
          <w:rFonts w:ascii="Calibri" w:eastAsia="Calibri" w:hAnsi="Calibri" w:cs="Calibri"/>
          <w:sz w:val="24"/>
          <w:szCs w:val="24"/>
          <w:lang w:val="en-GB"/>
        </w:rPr>
        <w:t xml:space="preserve"> included</w:t>
      </w:r>
      <w:r w:rsidR="001A63AE" w:rsidRPr="00460AFC">
        <w:rPr>
          <w:rFonts w:ascii="Calibri" w:eastAsia="Calibri" w:hAnsi="Calibri" w:cs="Calibri"/>
          <w:sz w:val="24"/>
          <w:szCs w:val="24"/>
          <w:lang w:val="en-GB"/>
        </w:rPr>
        <w:t xml:space="preserve"> adults </w:t>
      </w:r>
      <w:r w:rsidR="00532D80" w:rsidRPr="00460AFC">
        <w:rPr>
          <w:rFonts w:ascii="Calibri" w:eastAsia="Calibri" w:hAnsi="Calibri" w:cs="Calibri"/>
          <w:sz w:val="24"/>
          <w:szCs w:val="24"/>
          <w:lang w:val="en-GB"/>
        </w:rPr>
        <w:t xml:space="preserve">≥18 years </w:t>
      </w:r>
      <w:r w:rsidR="001A63AE" w:rsidRPr="00460AFC">
        <w:rPr>
          <w:rFonts w:ascii="Calibri" w:eastAsia="Calibri" w:hAnsi="Calibri" w:cs="Calibri"/>
          <w:sz w:val="24"/>
          <w:szCs w:val="24"/>
          <w:lang w:val="en-GB"/>
        </w:rPr>
        <w:t>with COVID-19</w:t>
      </w:r>
      <w:r w:rsidR="00532D80" w:rsidRPr="00460AFC">
        <w:rPr>
          <w:rFonts w:ascii="Calibri" w:eastAsia="Calibri" w:hAnsi="Calibri" w:cs="Calibri"/>
          <w:sz w:val="24"/>
          <w:szCs w:val="24"/>
          <w:lang w:val="en-GB"/>
        </w:rPr>
        <w:t xml:space="preserve"> infection</w:t>
      </w:r>
      <w:r w:rsidR="001A63AE" w:rsidRPr="00460AFC">
        <w:rPr>
          <w:rFonts w:ascii="Calibri" w:eastAsia="Calibri" w:hAnsi="Calibri" w:cs="Calibri"/>
          <w:sz w:val="24"/>
          <w:szCs w:val="24"/>
          <w:lang w:val="en-GB"/>
        </w:rPr>
        <w:t xml:space="preserve"> with no symptoms, mild</w:t>
      </w:r>
      <w:r w:rsidR="00860ADD">
        <w:rPr>
          <w:rFonts w:ascii="Calibri" w:eastAsia="Calibri" w:hAnsi="Calibri" w:cs="Calibri"/>
          <w:sz w:val="24"/>
          <w:szCs w:val="24"/>
          <w:lang w:val="en-GB"/>
        </w:rPr>
        <w:t>/</w:t>
      </w:r>
      <w:r w:rsidR="001A63AE" w:rsidRPr="00460AFC">
        <w:rPr>
          <w:rFonts w:ascii="Calibri" w:eastAsia="Calibri" w:hAnsi="Calibri" w:cs="Calibri"/>
          <w:sz w:val="24"/>
          <w:szCs w:val="24"/>
          <w:lang w:val="en-GB"/>
        </w:rPr>
        <w:t>moderate, severe</w:t>
      </w:r>
      <w:r w:rsidR="00860ADD">
        <w:rPr>
          <w:rFonts w:ascii="Calibri" w:eastAsia="Calibri" w:hAnsi="Calibri" w:cs="Calibri"/>
          <w:sz w:val="24"/>
          <w:szCs w:val="24"/>
          <w:lang w:val="en-GB"/>
        </w:rPr>
        <w:t>, and critical</w:t>
      </w:r>
      <w:r w:rsidR="001A63AE" w:rsidRPr="00460AFC">
        <w:rPr>
          <w:rFonts w:ascii="Calibri" w:eastAsia="Calibri" w:hAnsi="Calibri" w:cs="Calibri"/>
          <w:sz w:val="24"/>
          <w:szCs w:val="24"/>
          <w:lang w:val="en-GB"/>
        </w:rPr>
        <w:t xml:space="preserve"> symptoms</w:t>
      </w:r>
      <w:r w:rsidR="00532D80" w:rsidRPr="00460AFC">
        <w:rPr>
          <w:rFonts w:ascii="Calibri" w:eastAsia="Calibri" w:hAnsi="Calibri" w:cs="Calibri"/>
          <w:sz w:val="24"/>
          <w:szCs w:val="24"/>
          <w:lang w:val="en-GB"/>
        </w:rPr>
        <w:t xml:space="preserve">. </w:t>
      </w:r>
      <w:r w:rsidR="001A63AE" w:rsidRPr="00460AFC">
        <w:rPr>
          <w:rFonts w:ascii="Calibri" w:eastAsia="Calibri" w:hAnsi="Calibri" w:cs="Calibri"/>
          <w:sz w:val="24"/>
          <w:szCs w:val="24"/>
          <w:lang w:val="en-GB"/>
        </w:rPr>
        <w:t xml:space="preserve">Individuals with COVID-19 can </w:t>
      </w:r>
      <w:r w:rsidR="00532D80" w:rsidRPr="00460AFC">
        <w:rPr>
          <w:rFonts w:ascii="Calibri" w:eastAsia="Calibri" w:hAnsi="Calibri" w:cs="Calibri"/>
          <w:sz w:val="24"/>
          <w:szCs w:val="24"/>
          <w:lang w:val="en-GB"/>
        </w:rPr>
        <w:t xml:space="preserve">either </w:t>
      </w:r>
      <w:r w:rsidR="001A63AE" w:rsidRPr="00460AFC">
        <w:rPr>
          <w:rFonts w:ascii="Calibri" w:eastAsia="Calibri" w:hAnsi="Calibri" w:cs="Calibri"/>
          <w:sz w:val="24"/>
          <w:szCs w:val="24"/>
          <w:lang w:val="en-GB"/>
        </w:rPr>
        <w:t xml:space="preserve">die or survive. If individuals survive, they can evolve to </w:t>
      </w:r>
      <w:r w:rsidR="00532D80" w:rsidRPr="00460AFC">
        <w:rPr>
          <w:rFonts w:ascii="Calibri" w:eastAsia="Calibri" w:hAnsi="Calibri" w:cs="Calibri"/>
          <w:sz w:val="24"/>
          <w:szCs w:val="24"/>
          <w:lang w:val="en-GB"/>
        </w:rPr>
        <w:t xml:space="preserve">mild, moderate, and severe </w:t>
      </w:r>
      <w:r w:rsidR="001A63AE" w:rsidRPr="00460AFC">
        <w:rPr>
          <w:rFonts w:ascii="Calibri" w:eastAsia="Calibri" w:hAnsi="Calibri" w:cs="Calibri"/>
          <w:sz w:val="24"/>
          <w:szCs w:val="24"/>
          <w:lang w:val="en-GB"/>
        </w:rPr>
        <w:t xml:space="preserve">Long COVID or recover. Transition probabilities between health states </w:t>
      </w:r>
      <w:r w:rsidR="00532D80" w:rsidRPr="00460AFC">
        <w:rPr>
          <w:rFonts w:ascii="Calibri" w:eastAsia="Calibri" w:hAnsi="Calibri" w:cs="Calibri"/>
          <w:sz w:val="24"/>
          <w:szCs w:val="24"/>
          <w:lang w:val="en-GB"/>
        </w:rPr>
        <w:t>were</w:t>
      </w:r>
      <w:r w:rsidR="001A63AE" w:rsidRPr="00460AFC">
        <w:rPr>
          <w:rFonts w:ascii="Calibri" w:eastAsia="Calibri" w:hAnsi="Calibri" w:cs="Calibri"/>
          <w:sz w:val="24"/>
          <w:szCs w:val="24"/>
          <w:lang w:val="en-GB"/>
        </w:rPr>
        <w:t xml:space="preserve"> collected from the literature</w:t>
      </w:r>
      <w:r w:rsidR="00532D80" w:rsidRPr="00460AFC">
        <w:rPr>
          <w:rFonts w:ascii="Calibri" w:eastAsia="Calibri" w:hAnsi="Calibri" w:cs="Calibri"/>
          <w:sz w:val="24"/>
          <w:szCs w:val="24"/>
          <w:lang w:val="en-GB"/>
        </w:rPr>
        <w:t>, t</w:t>
      </w:r>
      <w:r w:rsidR="001A63AE" w:rsidRPr="00460AFC">
        <w:rPr>
          <w:rFonts w:ascii="Calibri" w:eastAsia="Calibri" w:hAnsi="Calibri" w:cs="Calibri"/>
          <w:sz w:val="24"/>
          <w:szCs w:val="24"/>
          <w:lang w:val="en-GB"/>
        </w:rPr>
        <w:t>he Kenya population databases</w:t>
      </w:r>
      <w:r w:rsidR="00532D80" w:rsidRPr="00460AFC">
        <w:rPr>
          <w:rFonts w:ascii="Calibri" w:eastAsia="Calibri" w:hAnsi="Calibri" w:cs="Calibri"/>
          <w:sz w:val="24"/>
          <w:szCs w:val="24"/>
          <w:lang w:val="en-GB"/>
        </w:rPr>
        <w:t xml:space="preserve">, and </w:t>
      </w:r>
      <w:r w:rsidR="00A975DE" w:rsidRPr="00460AFC">
        <w:rPr>
          <w:rFonts w:ascii="Calibri" w:eastAsia="Calibri" w:hAnsi="Calibri" w:cs="Calibri"/>
          <w:sz w:val="24"/>
          <w:szCs w:val="24"/>
          <w:lang w:val="en-GB"/>
        </w:rPr>
        <w:t xml:space="preserve">the </w:t>
      </w:r>
      <w:r w:rsidR="00532D80" w:rsidRPr="00460AFC">
        <w:rPr>
          <w:rFonts w:ascii="Calibri" w:eastAsia="Calibri" w:hAnsi="Calibri" w:cs="Calibri"/>
          <w:sz w:val="24"/>
          <w:szCs w:val="24"/>
          <w:lang w:val="en-GB"/>
        </w:rPr>
        <w:t>Kenyan</w:t>
      </w:r>
      <w:r w:rsidR="00A975DE" w:rsidRPr="00460AFC">
        <w:rPr>
          <w:rFonts w:ascii="Calibri" w:eastAsia="Calibri" w:hAnsi="Calibri" w:cs="Calibri"/>
          <w:sz w:val="24"/>
          <w:szCs w:val="24"/>
          <w:lang w:val="en-GB"/>
        </w:rPr>
        <w:t xml:space="preserve"> and the Dutch</w:t>
      </w:r>
      <w:r w:rsidR="00532D80" w:rsidRPr="00460AFC">
        <w:rPr>
          <w:rFonts w:ascii="Calibri" w:eastAsia="Calibri" w:hAnsi="Calibri" w:cs="Calibri"/>
          <w:sz w:val="24"/>
          <w:szCs w:val="24"/>
          <w:lang w:val="en-GB"/>
        </w:rPr>
        <w:t xml:space="preserve"> prospective cohort of Long COVID</w:t>
      </w:r>
      <w:r w:rsidR="00A975DE" w:rsidRPr="00460AFC">
        <w:rPr>
          <w:rFonts w:ascii="Calibri" w:eastAsia="Calibri" w:hAnsi="Calibri" w:cs="Calibri"/>
          <w:sz w:val="24"/>
          <w:szCs w:val="24"/>
          <w:lang w:val="en-GB"/>
        </w:rPr>
        <w:t xml:space="preserve"> participants</w:t>
      </w:r>
      <w:r w:rsidR="001A63AE" w:rsidRPr="00460AFC">
        <w:rPr>
          <w:rFonts w:ascii="Calibri" w:eastAsia="Calibri" w:hAnsi="Calibri" w:cs="Calibri"/>
          <w:sz w:val="24"/>
          <w:szCs w:val="24"/>
          <w:lang w:val="en-GB"/>
        </w:rPr>
        <w:t xml:space="preserve">. Health-related quality of life </w:t>
      </w:r>
      <w:r w:rsidR="00A975DE" w:rsidRPr="00460AFC">
        <w:rPr>
          <w:rFonts w:ascii="Calibri" w:eastAsia="Calibri" w:hAnsi="Calibri" w:cs="Calibri"/>
          <w:sz w:val="24"/>
          <w:szCs w:val="24"/>
          <w:lang w:val="en-GB"/>
        </w:rPr>
        <w:t>and disability weights were</w:t>
      </w:r>
      <w:r w:rsidR="001A63AE" w:rsidRPr="00460AFC">
        <w:rPr>
          <w:rFonts w:ascii="Calibri" w:eastAsia="Calibri" w:hAnsi="Calibri" w:cs="Calibri"/>
          <w:sz w:val="24"/>
          <w:szCs w:val="24"/>
          <w:lang w:val="en-GB"/>
        </w:rPr>
        <w:t xml:space="preserve"> </w:t>
      </w:r>
      <w:r w:rsidR="00A975DE" w:rsidRPr="00460AFC">
        <w:rPr>
          <w:rFonts w:ascii="Calibri" w:eastAsia="Calibri" w:hAnsi="Calibri" w:cs="Calibri"/>
          <w:sz w:val="24"/>
          <w:szCs w:val="24"/>
          <w:lang w:val="en-GB"/>
        </w:rPr>
        <w:t xml:space="preserve">extracted from </w:t>
      </w:r>
      <w:r w:rsidR="001A63AE" w:rsidRPr="00460AFC">
        <w:rPr>
          <w:rFonts w:ascii="Calibri" w:eastAsia="Calibri" w:hAnsi="Calibri" w:cs="Calibri"/>
          <w:sz w:val="24"/>
          <w:szCs w:val="24"/>
          <w:lang w:val="en-GB"/>
        </w:rPr>
        <w:t xml:space="preserve">the literature as well as productivity costs associated with each health state. Life expectancy and mortality tables </w:t>
      </w:r>
      <w:r w:rsidR="00A975DE" w:rsidRPr="00460AFC">
        <w:rPr>
          <w:rFonts w:ascii="Calibri" w:eastAsia="Calibri" w:hAnsi="Calibri" w:cs="Calibri"/>
          <w:sz w:val="24"/>
          <w:szCs w:val="24"/>
          <w:lang w:val="en-GB"/>
        </w:rPr>
        <w:t>were</w:t>
      </w:r>
      <w:r w:rsidR="001A63AE" w:rsidRPr="00460AFC">
        <w:rPr>
          <w:rFonts w:ascii="Calibri" w:eastAsia="Calibri" w:hAnsi="Calibri" w:cs="Calibri"/>
          <w:sz w:val="24"/>
          <w:szCs w:val="24"/>
          <w:lang w:val="en-GB"/>
        </w:rPr>
        <w:t xml:space="preserve"> extracted from Kenya databases</w:t>
      </w:r>
      <w:r w:rsidR="00A975DE" w:rsidRPr="00460AFC">
        <w:rPr>
          <w:rFonts w:ascii="Calibri" w:eastAsia="Calibri" w:hAnsi="Calibri" w:cs="Calibri"/>
          <w:sz w:val="24"/>
          <w:szCs w:val="24"/>
          <w:lang w:val="en-GB"/>
        </w:rPr>
        <w:t>.</w:t>
      </w:r>
    </w:p>
    <w:p w14:paraId="34D6BDCB" w14:textId="77777777" w:rsidR="00A975DE" w:rsidRPr="00460AFC" w:rsidRDefault="00D62958" w:rsidP="00A175A0">
      <w:pPr>
        <w:ind w:left="0"/>
        <w:rPr>
          <w:b/>
          <w:bCs/>
          <w:sz w:val="24"/>
          <w:szCs w:val="24"/>
          <w:lang w:val="en-GB"/>
        </w:rPr>
      </w:pPr>
      <w:r w:rsidRPr="00460AFC">
        <w:rPr>
          <w:b/>
          <w:bCs/>
          <w:sz w:val="24"/>
          <w:szCs w:val="24"/>
          <w:lang w:val="en-GB"/>
        </w:rPr>
        <w:t>Results:</w:t>
      </w:r>
    </w:p>
    <w:p w14:paraId="28D75D1A" w14:textId="287BEA42" w:rsidR="00164A49" w:rsidRPr="00460AFC" w:rsidRDefault="00D62958" w:rsidP="00A175A0">
      <w:pPr>
        <w:ind w:left="0"/>
        <w:rPr>
          <w:b/>
          <w:bCs/>
          <w:sz w:val="24"/>
          <w:szCs w:val="24"/>
          <w:lang w:val="en-GB"/>
        </w:rPr>
      </w:pPr>
      <w:r w:rsidRPr="00460AFC">
        <w:rPr>
          <w:b/>
          <w:bCs/>
          <w:sz w:val="24"/>
          <w:szCs w:val="24"/>
          <w:lang w:val="en-GB"/>
        </w:rPr>
        <w:t>Conclusions:</w:t>
      </w:r>
      <w:r w:rsidR="00164A49" w:rsidRPr="00460AFC">
        <w:rPr>
          <w:b/>
          <w:bCs/>
          <w:sz w:val="24"/>
          <w:szCs w:val="24"/>
          <w:lang w:val="en-GB"/>
        </w:rPr>
        <w:br w:type="page"/>
      </w:r>
    </w:p>
    <w:p w14:paraId="3208F52D" w14:textId="5BC1A17E" w:rsidR="00164A49" w:rsidRPr="00395AD3" w:rsidRDefault="00164A49" w:rsidP="00395AD3">
      <w:pPr>
        <w:pStyle w:val="ListParagraph"/>
        <w:numPr>
          <w:ilvl w:val="0"/>
          <w:numId w:val="2"/>
        </w:numPr>
        <w:rPr>
          <w:b/>
          <w:bCs/>
          <w:sz w:val="28"/>
          <w:szCs w:val="28"/>
          <w:lang w:val="en-GB"/>
        </w:rPr>
      </w:pPr>
      <w:r w:rsidRPr="00395AD3">
        <w:rPr>
          <w:b/>
          <w:bCs/>
          <w:sz w:val="28"/>
          <w:szCs w:val="28"/>
          <w:lang w:val="en-GB"/>
        </w:rPr>
        <w:lastRenderedPageBreak/>
        <w:t>Introduction</w:t>
      </w:r>
    </w:p>
    <w:p w14:paraId="5DEDC9EC" w14:textId="12C4D3FF" w:rsidR="00900EED" w:rsidRPr="00900EED" w:rsidRDefault="00460AFC" w:rsidP="00395AD3">
      <w:pPr>
        <w:spacing w:after="240"/>
        <w:ind w:left="0"/>
        <w:rPr>
          <w:sz w:val="24"/>
          <w:szCs w:val="24"/>
          <w:lang w:val="en-GB"/>
        </w:rPr>
      </w:pPr>
      <w:r w:rsidRPr="00900EED">
        <w:rPr>
          <w:rFonts w:ascii="Calibri" w:eastAsia="Calibri" w:hAnsi="Calibri" w:cs="Calibri"/>
          <w:sz w:val="24"/>
          <w:szCs w:val="24"/>
          <w:lang w:val="en-GB"/>
        </w:rPr>
        <w:t>Worldwide, the COVID-19 pandemic has increased mortality considerably and overstretched healthcare systems’ capacity to provide care</w:t>
      </w:r>
      <w:r w:rsidR="00622D0C" w:rsidRPr="00900EED">
        <w:rPr>
          <w:rFonts w:ascii="Calibri" w:eastAsia="Calibri" w:hAnsi="Calibri" w:cs="Calibri"/>
          <w:sz w:val="24"/>
          <w:szCs w:val="24"/>
          <w:lang w:val="en-GB"/>
        </w:rPr>
        <w:fldChar w:fldCharType="begin"/>
      </w:r>
      <w:r w:rsidR="00622D0C" w:rsidRPr="00900EED">
        <w:rPr>
          <w:rFonts w:ascii="Calibri" w:eastAsia="Calibri" w:hAnsi="Calibri" w:cs="Calibri"/>
          <w:sz w:val="24"/>
          <w:szCs w:val="24"/>
          <w:lang w:val="en-GB"/>
        </w:rPr>
        <w:instrText xml:space="preserve"> ADDIN ZOTERO_ITEM CSL_CITATION {"citationID":"8Fmw6Xr5","properties":{"formattedCitation":"\\super 1\\nosupersub{}","plainCitation":"1","noteIndex":0},"citationItems":[{"id":7222,"uris":["http://zotero.org/users/3111854/items/IP9853E5"],"itemData":{"id":7222,"type":"webpage","abstract":"The second round of a World Health Organization “pulse survey“ reveals that over one year into the COVID-19 pandemic, substantial disruptions persist, with about 90% of countries still reporting one or more disruptions to essential health services, marking no substantial global change since the first survey conducted in the summer of 2020.Within countries, however, the magnitude and extent of disruptions has generally decreased. In 2020, countries reported that, on average, about half of essential health services were disrupted. In the first 3 months of 2021, however, they reported progress, with just over one third of services now being disrupted.Overcoming disruptionsCountries have been working to mitigate disruptions. Many have now stepped up communications efforts to inform the public about changes to service delivery and provide advice about ways to safely seek health care. They are also triaging to identify and better meet the most urgent patient needs.More than half the countries consulted say they have recruited additional staff to boost the health workforce; redirected patients to other care facilities; and switched to alternative methods to delivering care, such as providing more home-based services, multi-month prescriptions for treatments, and increasing the use of telemedicine.In addition, WHO and its partners have been helping countries to adapt their processes so they can better respond to the challenges being placed on their health systems; strengthen primary health care, and advance universal health coverage.“It is encouraging to see that countries are beginning to build back their essential health services, but much remains to be done,” says Dr Tedros Adhanom Ghebreyesus, Director General, WHO. “The survey highlights the need to intensify efforts and take additional steps to close gaps and strengthen services. It will be especially important to monitor the situation in countries that were struggling to provide health services before the pandemic.“Persisting causes of disruptionsCountries are still having to make important decisions when responding to COVID-19 that may negatively affect access to care for other health issues. Redeployment of staff to provide COVID-19 relief and temporary closures of health facilities and services continue.Although they may have taken on new staff, 66% of countries continue to report health workforce-related reasons as the most common causes of service disruptions. Supply chains are also still disrupted in nearly one third of countries, affecting the availability of essential medicines, diagnostics, and the PPE needed to safely and effectively provide care.Communications efforts need to be further scaled up: more than half of countries report service disruptions due to patients not seeking care and because of community mistrust and fears of becoming infected.Meanwhile, 43% of countries cite financial challenges as major causes for disruptions in service utilization. As a result, millions of people are still missing out on vital health care. In terms of services, the biggest impact reported by nearly half of countries is on provision of day-to-day primary care to prevent and manage some of the most common health problems. Long-term care for chronic conditions, rehabilitation, and palliative end-of-life care, is also still badly disrupted - severely affecting older people and people living with disabilities.Potentially life-saving emergency, critical and surgical care interventions are still disrupted in about 20% of countries, reflecting the most immediate indirect consequences of the pandemic. Two thirds of countries also report disruptions in elective surgeries, with accumulating consequences as the pandemic is prolonged.Among the most extensively affected health services (i.e. those for which more than 40% of countries are reporting disruptions) are those for mental, neurological and substance use disorders; neglected tropical diseases; tuberculosis; HIV and hepatitis B and C; cancer screening, and services for other noncommunicable diseases including hypertension and diabetes; family planning and contraception; urgent dental care; and malnutrition.Issued ahead of World Immunization Week (which starts 24 April) and World Malaria Day (25 April) the survey reveals that serious gaps also remain in addressing disruptions to services in both these areas.More than one third of countries are still reporting disruptions to immunization services, despite progress in countries reducing disruptions to immunization services in health facilities and “outreach” immunization services by about 20% and 30% respectively compared to 2020. This highlights the need for new and sustained approaches to improving immunization coverage and uptake.“The COVID-19 pandemic continues to pose serious challenges to global health beyond the impact of the disease itself,” said Henrietta Fore, UNICEF Executive Director. “For children, disruptions to immunization services have serious consequences. As we scale up delivery of COVID-19 vaccines, we have to ensure that this does not come at the cost of essential childhood vaccinations. We cannot allow today’s fight against COVID-19 to undermine our fight against measles, polio or other vaccine preventable illnesses. Prolonged immunization disruptions will have long-term consequences for children’s health. The time to catch up is now.”Meanwhile, nearly 40% of countries are also reporting disruptions to one or more malaria services. While progress compared to 2020 – with about 10% fewer countries reporting disruptions to malaria diagnosis and treatment and 25-33% fewer countries reporting disruptions to malaria prevention campaigns (including distribution of long-lasting insecticide impregnated bed nets, indoor spraying and seasonal malaria chemoprevention), the reported level of disruption is still significant and needs to be urgently addressed.WHO will continue to support countries so they can respond to increased strains on health systems and rapidly evolving priorities and needs throughout the course of the pandemic, and to ensure that COVID-19 control strategies are in balance strategies to tackle other health priorities and secure continued access to comprehensive care for everyone, including the most vulnerable.Key support mechanisms include the ACT-Accelerator, which works to speed up equitable access to COVID-19 vaccines, tests and treatments, and the Strategic Preparedness and Response Plan, which guides actions taken at national, regional, and global levels to tackle COVID-19.The Organization also remains focused on the delivery of the work it has committed to before the COVID-19 pandemic started. Internally, through the “Boost initiative” and the UHC Partnership, which covers 115 countries, WHO has strengthened its capacity to provide additional support to countries so they can maintain essential health services during the pandemic, and advance progress towards universal health coverage.  Note to editorsThis survey looks at 63 core health services across delivery platforms and health areas. It was sent to 216 countries and territories across the six WHO regions. 135 responses were received (63% response rate) from senior ministry of health officials predominantly between January and March 2021. The responses referred to the situation in the country during the 3 months prior to survey submission (in this case predominantly covering periods between October 2020-February 2021).The purpose of the survey was to gain insights and perspectives on the impact of the COVID-19 pandemic on essential health services and how countries are adapting strategies to maintain essential services. This survey round follows up WHOs previous pulse surveys on continuity of essential health services distributed throughout quarters 2 and 3 of 2020, including: Pulse survey on continuity of essential health services during the COVID-19 pandemic; Rapid assessment on the impact of the COVID-19 pandemic on noncommunicable disease resources and services; Rapid assessment on the impact of COVID-19 on mental, neurological and substance use services; and Round 1 and Round 2 pulse surveys on immunization.While pulse surveys have limitations such as possible reporting bias and representativeness, the strength of this effort is that it is comprehensive, and delivers information rapidly.","language":"en","title":"COVID-19 continues to disrupt essential health services in 90% of countries","URL":"https://www.who.int/news/item/23-04-2021-covid-19-continues-to-disrupt-essential-health-services-in-90-of-countries","author":[{"family":"WHO","given":""}],"accessed":{"date-parts":[["2022",2,5]]},"issued":{"date-parts":[["2021",4,23]]}}}],"schema":"https://github.com/citation-style-language/schema/raw/master/csl-citation.json"} </w:instrText>
      </w:r>
      <w:r w:rsidR="00622D0C" w:rsidRPr="00900EED">
        <w:rPr>
          <w:rFonts w:ascii="Calibri" w:eastAsia="Calibri" w:hAnsi="Calibri" w:cs="Calibri"/>
          <w:sz w:val="24"/>
          <w:szCs w:val="24"/>
          <w:lang w:val="en-GB"/>
        </w:rPr>
        <w:fldChar w:fldCharType="separate"/>
      </w:r>
      <w:r w:rsidR="00622D0C" w:rsidRPr="00900EED">
        <w:rPr>
          <w:rFonts w:ascii="Calibri" w:hAnsi="Calibri" w:cs="Calibri"/>
          <w:sz w:val="24"/>
          <w:szCs w:val="24"/>
          <w:vertAlign w:val="superscript"/>
        </w:rPr>
        <w:t>1</w:t>
      </w:r>
      <w:r w:rsidR="00622D0C" w:rsidRPr="00900EED">
        <w:rPr>
          <w:rFonts w:ascii="Calibri" w:eastAsia="Calibri" w:hAnsi="Calibri" w:cs="Calibri"/>
          <w:sz w:val="24"/>
          <w:szCs w:val="24"/>
          <w:lang w:val="en-GB"/>
        </w:rPr>
        <w:fldChar w:fldCharType="end"/>
      </w:r>
      <w:r w:rsidRPr="00900EED">
        <w:rPr>
          <w:rFonts w:ascii="Calibri" w:eastAsia="Calibri" w:hAnsi="Calibri" w:cs="Calibri"/>
          <w:sz w:val="24"/>
          <w:szCs w:val="24"/>
          <w:lang w:val="en-GB"/>
        </w:rPr>
        <w:t>. At the start of the pandemic, people who needed hospitalisation and intensive care were those who had priority of care</w:t>
      </w:r>
      <w:r w:rsidR="00622D0C" w:rsidRPr="00900EED">
        <w:rPr>
          <w:rFonts w:ascii="Calibri" w:eastAsia="Calibri" w:hAnsi="Calibri" w:cs="Calibri"/>
          <w:sz w:val="24"/>
          <w:szCs w:val="24"/>
          <w:lang w:val="en-GB"/>
        </w:rPr>
        <w:fldChar w:fldCharType="begin"/>
      </w:r>
      <w:r w:rsidR="00622D0C" w:rsidRPr="00900EED">
        <w:rPr>
          <w:rFonts w:ascii="Calibri" w:eastAsia="Calibri" w:hAnsi="Calibri" w:cs="Calibri"/>
          <w:sz w:val="24"/>
          <w:szCs w:val="24"/>
          <w:lang w:val="en-GB"/>
        </w:rPr>
        <w:instrText xml:space="preserve"> ADDIN ZOTERO_ITEM CSL_CITATION {"citationID":"slfDfwzJ","properties":{"formattedCitation":"\\super 1\\nosupersub{}","plainCitation":"1","noteIndex":0},"citationItems":[{"id":7222,"uris":["http://zotero.org/users/3111854/items/IP9853E5"],"itemData":{"id":7222,"type":"webpage","abstract":"The second round of a World Health Organization “pulse survey“ reveals that over one year into the COVID-19 pandemic, substantial disruptions persist, with about 90% of countries still reporting one or more disruptions to essential health services, marking no substantial global change since the first survey conducted in the summer of 2020.Within countries, however, the magnitude and extent of disruptions has generally decreased. In 2020, countries reported that, on average, about half of essential health services were disrupted. In the first 3 months of 2021, however, they reported progress, with just over one third of services now being disrupted.Overcoming disruptionsCountries have been working to mitigate disruptions. Many have now stepped up communications efforts to inform the public about changes to service delivery and provide advice about ways to safely seek health care. They are also triaging to identify and better meet the most urgent patient needs.More than half the countries consulted say they have recruited additional staff to boost the health workforce; redirected patients to other care facilities; and switched to alternative methods to delivering care, such as providing more home-based services, multi-month prescriptions for treatments, and increasing the use of telemedicine.In addition, WHO and its partners have been helping countries to adapt their processes so they can better respond to the challenges being placed on their health systems; strengthen primary health care, and advance universal health coverage.“It is encouraging to see that countries are beginning to build back their essential health services, but much remains to be done,” says Dr Tedros Adhanom Ghebreyesus, Director General, WHO. “The survey highlights the need to intensify efforts and take additional steps to close gaps and strengthen services. It will be especially important to monitor the situation in countries that were struggling to provide health services before the pandemic.“Persisting causes of disruptionsCountries are still having to make important decisions when responding to COVID-19 that may negatively affect access to care for other health issues. Redeployment of staff to provide COVID-19 relief and temporary closures of health facilities and services continue.Although they may have taken on new staff, 66% of countries continue to report health workforce-related reasons as the most common causes of service disruptions. Supply chains are also still disrupted in nearly one third of countries, affecting the availability of essential medicines, diagnostics, and the PPE needed to safely and effectively provide care.Communications efforts need to be further scaled up: more than half of countries report service disruptions due to patients not seeking care and because of community mistrust and fears of becoming infected.Meanwhile, 43% of countries cite financial challenges as major causes for disruptions in service utilization. As a result, millions of people are still missing out on vital health care. In terms of services, the biggest impact reported by nearly half of countries is on provision of day-to-day primary care to prevent and manage some of the most common health problems. Long-term care for chronic conditions, rehabilitation, and palliative end-of-life care, is also still badly disrupted - severely affecting older people and people living with disabilities.Potentially life-saving emergency, critical and surgical care interventions are still disrupted in about 20% of countries, reflecting the most immediate indirect consequences of the pandemic. Two thirds of countries also report disruptions in elective surgeries, with accumulating consequences as the pandemic is prolonged.Among the most extensively affected health services (i.e. those for which more than 40% of countries are reporting disruptions) are those for mental, neurological and substance use disorders; neglected tropical diseases; tuberculosis; HIV and hepatitis B and C; cancer screening, and services for other noncommunicable diseases including hypertension and diabetes; family planning and contraception; urgent dental care; and malnutrition.Issued ahead of World Immunization Week (which starts 24 April) and World Malaria Day (25 April) the survey reveals that serious gaps also remain in addressing disruptions to services in both these areas.More than one third of countries are still reporting disruptions to immunization services, despite progress in countries reducing disruptions to immunization services in health facilities and “outreach” immunization services by about 20% and 30% respectively compared to 2020. This highlights the need for new and sustained approaches to improving immunization coverage and uptake.“The COVID-19 pandemic continues to pose serious challenges to global health beyond the impact of the disease itself,” said Henrietta Fore, UNICEF Executive Director. “For children, disruptions to immunization services have serious consequences. As we scale up delivery of COVID-19 vaccines, we have to ensure that this does not come at the cost of essential childhood vaccinations. We cannot allow today’s fight against COVID-19 to undermine our fight against measles, polio or other vaccine preventable illnesses. Prolonged immunization disruptions will have long-term consequences for children’s health. The time to catch up is now.”Meanwhile, nearly 40% of countries are also reporting disruptions to one or more malaria services. While progress compared to 2020 – with about 10% fewer countries reporting disruptions to malaria diagnosis and treatment and 25-33% fewer countries reporting disruptions to malaria prevention campaigns (including distribution of long-lasting insecticide impregnated bed nets, indoor spraying and seasonal malaria chemoprevention), the reported level of disruption is still significant and needs to be urgently addressed.WHO will continue to support countries so they can respond to increased strains on health systems and rapidly evolving priorities and needs throughout the course of the pandemic, and to ensure that COVID-19 control strategies are in balance strategies to tackle other health priorities and secure continued access to comprehensive care for everyone, including the most vulnerable.Key support mechanisms include the ACT-Accelerator, which works to speed up equitable access to COVID-19 vaccines, tests and treatments, and the Strategic Preparedness and Response Plan, which guides actions taken at national, regional, and global levels to tackle COVID-19.The Organization also remains focused on the delivery of the work it has committed to before the COVID-19 pandemic started. Internally, through the “Boost initiative” and the UHC Partnership, which covers 115 countries, WHO has strengthened its capacity to provide additional support to countries so they can maintain essential health services during the pandemic, and advance progress towards universal health coverage.  Note to editorsThis survey looks at 63 core health services across delivery platforms and health areas. It was sent to 216 countries and territories across the six WHO regions. 135 responses were received (63% response rate) from senior ministry of health officials predominantly between January and March 2021. The responses referred to the situation in the country during the 3 months prior to survey submission (in this case predominantly covering periods between October 2020-February 2021).The purpose of the survey was to gain insights and perspectives on the impact of the COVID-19 pandemic on essential health services and how countries are adapting strategies to maintain essential services. This survey round follows up WHOs previous pulse surveys on continuity of essential health services distributed throughout quarters 2 and 3 of 2020, including: Pulse survey on continuity of essential health services during the COVID-19 pandemic; Rapid assessment on the impact of the COVID-19 pandemic on noncommunicable disease resources and services; Rapid assessment on the impact of COVID-19 on mental, neurological and substance use services; and Round 1 and Round 2 pulse surveys on immunization.While pulse surveys have limitations such as possible reporting bias and representativeness, the strength of this effort is that it is comprehensive, and delivers information rapidly.","language":"en","title":"COVID-19 continues to disrupt essential health services in 90% of countries","URL":"https://www.who.int/news/item/23-04-2021-covid-19-continues-to-disrupt-essential-health-services-in-90-of-countries","author":[{"family":"WHO","given":""}],"accessed":{"date-parts":[["2022",2,5]]},"issued":{"date-parts":[["2021",4,23]]}}}],"schema":"https://github.com/citation-style-language/schema/raw/master/csl-citation.json"} </w:instrText>
      </w:r>
      <w:r w:rsidR="00622D0C" w:rsidRPr="00900EED">
        <w:rPr>
          <w:rFonts w:ascii="Calibri" w:eastAsia="Calibri" w:hAnsi="Calibri" w:cs="Calibri"/>
          <w:sz w:val="24"/>
          <w:szCs w:val="24"/>
          <w:lang w:val="en-GB"/>
        </w:rPr>
        <w:fldChar w:fldCharType="separate"/>
      </w:r>
      <w:r w:rsidR="00622D0C" w:rsidRPr="00900EED">
        <w:rPr>
          <w:rFonts w:ascii="Calibri" w:hAnsi="Calibri" w:cs="Calibri"/>
          <w:sz w:val="24"/>
          <w:szCs w:val="24"/>
          <w:vertAlign w:val="superscript"/>
        </w:rPr>
        <w:t>1</w:t>
      </w:r>
      <w:r w:rsidR="00622D0C" w:rsidRPr="00900EED">
        <w:rPr>
          <w:rFonts w:ascii="Calibri" w:eastAsia="Calibri" w:hAnsi="Calibri" w:cs="Calibri"/>
          <w:sz w:val="24"/>
          <w:szCs w:val="24"/>
          <w:lang w:val="en-GB"/>
        </w:rPr>
        <w:fldChar w:fldCharType="end"/>
      </w:r>
      <w:r w:rsidRPr="00900EED">
        <w:rPr>
          <w:rFonts w:ascii="Calibri" w:eastAsia="Calibri" w:hAnsi="Calibri" w:cs="Calibri"/>
          <w:sz w:val="24"/>
          <w:szCs w:val="24"/>
          <w:lang w:val="en-GB"/>
        </w:rPr>
        <w:t xml:space="preserve">. </w:t>
      </w:r>
      <w:r w:rsidR="00622D0C" w:rsidRPr="00900EED">
        <w:rPr>
          <w:rFonts w:ascii="Calibri" w:eastAsia="Calibri" w:hAnsi="Calibri" w:cs="Calibri"/>
          <w:sz w:val="24"/>
          <w:szCs w:val="24"/>
          <w:lang w:val="en-GB"/>
        </w:rPr>
        <w:t>Over</w:t>
      </w:r>
      <w:r w:rsidRPr="00900EED">
        <w:rPr>
          <w:rFonts w:ascii="Calibri" w:eastAsia="Calibri" w:hAnsi="Calibri" w:cs="Calibri"/>
          <w:sz w:val="24"/>
          <w:szCs w:val="24"/>
          <w:lang w:val="en-GB"/>
        </w:rPr>
        <w:t xml:space="preserve"> the second year, as vaccination rates increased greatly, which in turn reduced the prevalence of serious illness and deaths, the demand for care started to come from those with post-infection complications, also referred to as Long COVID</w:t>
      </w:r>
      <w:r w:rsidR="00622D0C" w:rsidRPr="00900EED">
        <w:rPr>
          <w:rFonts w:ascii="Calibri" w:eastAsia="Calibri" w:hAnsi="Calibri" w:cs="Calibri"/>
          <w:sz w:val="24"/>
          <w:szCs w:val="24"/>
          <w:lang w:val="en-GB"/>
        </w:rPr>
        <w:fldChar w:fldCharType="begin"/>
      </w:r>
      <w:r w:rsidR="00622D0C" w:rsidRPr="00900EED">
        <w:rPr>
          <w:rFonts w:ascii="Calibri" w:eastAsia="Calibri" w:hAnsi="Calibri" w:cs="Calibri"/>
          <w:sz w:val="24"/>
          <w:szCs w:val="24"/>
          <w:lang w:val="en-GB"/>
        </w:rPr>
        <w:instrText xml:space="preserve"> ADDIN ZOTERO_ITEM CSL_CITATION {"citationID":"izuG7CHG","properties":{"formattedCitation":"\\super 2\\nosupersub{}","plainCitation":"2","noteIndex":0},"citationItems":[{"id":7224,"uris":["http://zotero.org/users/3111854/items/LEQNVFEG"],"itemData":{"id":7224,"type":"article-journal","abstract":"Vaccines reduce the risk of developing COVID-19 — but studies disagree on their protective effect against long COVID.","container-title":"Nature","DOI":"10.1038/d41586-021-03495-2","issue":"7886","language":"en","note":"Bandiera_abtest: a\nCg_type: News Feature\nnumber: 7886\npublisher: Nature Publishing Group\nSubject_term: SARS-CoV-2, Infection, Vaccines","page":"546-548","source":"www.nature.com","title":"Do vaccines protect against long COVID? What the data say","title-short":"Do vaccines protect against long COVID?","volume":"599","author":[{"family":"Ledford","given":"Heidi"}],"issued":{"date-parts":[["2021",11,23]]}}}],"schema":"https://github.com/citation-style-language/schema/raw/master/csl-citation.json"} </w:instrText>
      </w:r>
      <w:r w:rsidR="00622D0C" w:rsidRPr="00900EED">
        <w:rPr>
          <w:rFonts w:ascii="Calibri" w:eastAsia="Calibri" w:hAnsi="Calibri" w:cs="Calibri"/>
          <w:sz w:val="24"/>
          <w:szCs w:val="24"/>
          <w:lang w:val="en-GB"/>
        </w:rPr>
        <w:fldChar w:fldCharType="separate"/>
      </w:r>
      <w:r w:rsidR="00622D0C" w:rsidRPr="00900EED">
        <w:rPr>
          <w:rFonts w:ascii="Calibri" w:hAnsi="Calibri" w:cs="Calibri"/>
          <w:sz w:val="24"/>
          <w:szCs w:val="24"/>
          <w:vertAlign w:val="superscript"/>
        </w:rPr>
        <w:t>2</w:t>
      </w:r>
      <w:r w:rsidR="00622D0C" w:rsidRPr="00900EED">
        <w:rPr>
          <w:rFonts w:ascii="Calibri" w:eastAsia="Calibri" w:hAnsi="Calibri" w:cs="Calibri"/>
          <w:sz w:val="24"/>
          <w:szCs w:val="24"/>
          <w:lang w:val="en-GB"/>
        </w:rPr>
        <w:fldChar w:fldCharType="end"/>
      </w:r>
      <w:r w:rsidRPr="00900EED">
        <w:rPr>
          <w:rFonts w:ascii="Calibri" w:eastAsia="Calibri" w:hAnsi="Calibri" w:cs="Calibri"/>
          <w:sz w:val="24"/>
          <w:szCs w:val="24"/>
          <w:lang w:val="en-GB"/>
        </w:rPr>
        <w:t xml:space="preserve">. </w:t>
      </w:r>
      <w:r w:rsidR="00900EED" w:rsidRPr="00900EED">
        <w:rPr>
          <w:sz w:val="24"/>
          <w:szCs w:val="24"/>
        </w:rPr>
        <w:t>Evidence is still limited but suggests that approximately 1 in 10 adults experience ongoing symptoms 3 months after being infected, including those who are asymptomatic at the time of diagnosis</w:t>
      </w:r>
      <w:r w:rsidR="00900EED" w:rsidRPr="00900EED">
        <w:rPr>
          <w:sz w:val="24"/>
          <w:szCs w:val="24"/>
        </w:rPr>
        <w:fldChar w:fldCharType="begin"/>
      </w:r>
      <w:r w:rsidR="00B77085">
        <w:rPr>
          <w:sz w:val="24"/>
          <w:szCs w:val="24"/>
        </w:rPr>
        <w:instrText xml:space="preserve"> ADDIN ZOTERO_ITEM CSL_CITATION {"citationID":"PimY8zJk","properties":{"formattedCitation":"\\super 3\\uc0\\u8211{}8\\nosupersub{}","plainCitation":"3–8","noteIndex":0},"citationItems":[{"id":7185,"uris":["http://zotero.org/users/3111854/items/W3JB3NA2"],"itemData":{"id":7185,"type":"article-journal","abstract":"Since its emergence in Wuhan, China, covid-19 has spread and had a profound effect on the lives and health of people around the globe. As of 4 July 2021, more than 183 million confirmed cases of covid-19 had been recorded worldwide, and 3.97 million deaths. Recent evidence has shown that a range of persistent symptoms can remain long after the acute SARS-CoV-2 infection, and this condition is now coined long covid by recognized research institutes. Studies have shown that long covid can affect the whole spectrum of people with covid-19, from those with very mild acute disease to the most severe forms. Like acute covid-19, long covid can involve multiple organs and can affect many systems including, but not limited to, the respiratory, cardiovascular, neurological, gastrointestinal, and musculoskeletal systems. The symptoms of long covid include fatigue, dyspnea, cardiac abnormalities, cognitive impairment, sleep disturbances, symptoms of posttraumatic stress disorder, muscle pain, concentration problems, and headache. This review summarizes studies of the long term effects of covid-19 in hospitalized and non-hospitalized patients and describes the persistent symptoms they endure. Risk factors for acute covid-19 and long covid and possible therapeutic options are also discussed.","container-title":"BMJ","DOI":"10.1136/bmj.n1648","ISSN":"1756-1833","journalAbbreviation":"BMJ","language":"en","page":"n1648","source":"DOI.org (Crossref)","title":"Long covid—mechanisms, risk factors, and management","author":[{"family":"Crook","given":"Harry"},{"family":"Raza","given":"Sanara"},{"family":"Nowell","given":"Joseph"},{"family":"Young","given":"Megan"},{"family":"Edison","given":"Paul"}],"issued":{"date-parts":[["2021",7,26]]}}},{"id":7194,"uris":["http://zotero.org/users/3111854/items/NSI7UD9F"],"itemData":{"id":7194,"type":"article-journal","abstract":"Emerging data suggest that the effects of infection with SARS-CoV-2 are far reaching extending beyond those with severe acute disease. Specifically, the presence of persistent symptoms after apparent resolution from COVID-19 have frequently been reported throughout the pandemic by individuals labeled as “long-haulers”. The purpose of this study was to assess for symptoms at days 0–10 and 61+ among subjects with PCR-confirmed SARS-CoV-2 infection. The University of California COvid Research Data Set (UC CORDS) was used to identify 1407 records that met inclusion criteria. Symptoms attributable to COVID-19 were extracted from the electronic health record. Symptoms reported over the previous year prior to COVID-19 were excluded, using nonnegative matrix factorization (NMF) followed by graph lasso to assess relationships between symptoms. A model was developed predictive for becoming a long-hauler based on symptoms. 27% reported persistent symptoms after 60 days. Women were more likely to become long-haulers, and all age groups were represented with those aged 50 ± 20 years comprising 72% of cases. Presenting symptoms included palpitations, chronic rhinitis, dysgeusia, chills, insomnia, hyperhidrosis, anxiety, sore throat, and headache among others. We identified 5 symptom clusters at day 61+: chest pain-cough, dyspnea-cough, anxiety-tachycardia, abdominal pain-nausea, and low back pain-joint pain. Long-haulers represent a very significant public health concern, and there are no guidelines to address their diagnosis and management. Additional studies are urgently needed that focus on the physical, mental, and emotional impact of long-term COVID-19 survivors who become long-haulers.","container-title":"medRxiv","DOI":"10.1101/2021.03.03.21252086","journalAbbreviation":"medRxiv","note":"PMID: 33688670\nPMCID: PMC7941647","page":"2021.03.03.21252086","source":"PubMed Central","title":"COVID Symptoms, Symptom Clusters, and Predictors for Becoming a Long-Hauler: Looking for Clarity in the Haze of the Pandemic","title-short":"COVID Symptoms, Symptom Clusters, and Predictors for Becoming a Long-Hauler","author":[{"family":"Huang","given":"Yong"},{"family":"Pinto","given":"Melissa D."},{"family":"Borelli","given":"Jessica L."},{"family":"Mehrabadi","given":"Milad Asgari"},{"family":"Abrihim","given":"Heather"},{"family":"Dutt","given":"Nikil"},{"family":"Lambert","given":"Natalie"},{"family":"Nurmi","given":"Erika L."},{"family":"Chakraborty","given":"Rana"},{"family":"Rahmani","given":"Amir M."},{"family":"Downs","given":"Charles A."}],"issued":{"date-parts":[["2021",3,5]]}}},{"id":7219,"uris":["http://zotero.org/users/3111854/items/XGL2M4PG"],"itemData":{"id":7219,"type":"webpage","abstract":"Download PDF A dynamic review of the evidence around ongoing Covid19 (often called Long Covid). You can also download this review as a PDF. Executive summary NIHR Centre for Engagement and Dissemination What are we aiming to achieve with our Living with Covid19 reviews? Framing the evidence What is ‘Long Covid’? How many people who ...","container-title":"NIHR Evidence","language":"en-GB","note":"DOI: 10.3310/themedreview_45225","title":"Living with Covid19 – Second review","URL":"https://evidence.nihr.ac.uk/themedreview/living-with-covid19-second-review/","author":[{"family":"NIHR","given":""}],"accessed":{"date-parts":[["2022",2,5]]},"issued":{"date-parts":[["2021",3,16]]}}},{"id":7242,"uris":["http://zotero.org/users/3111854/items/Q4K6KUMS"],"itemData":{"id":7242,"type":"article-journal","abstract":"Reports of long-lasting coronavirus disease 2019 (COVID-19) symptoms, the so-called ‘long COVID’, are rising but little is known about prevalence, risk factors or whether it is possible to predict a protracted course early in the disease. We analyzed data from 4,182 incident cases of COVID-19 in which individuals self-reported their symptoms prospectively in the COVID Symptom Study app1. A total of 558 (13.3%) participants reported symptoms lasting ≥28 days, 189 (4.5%) for ≥8 weeks and 95 (2.3%) for ≥12 weeks. Long COVID was characterized by symptoms of fatigue, headache, dyspnea and anosmia and was more likely with increasing age and body mass index and female sex. Experiencing more than five symptoms during the first week of illness was associated with long COVID (odds ratio = 3.53 (2.76–4.50)). A simple model to distinguish between short COVID and long COVID at 7 days (total sample size, n = 2,149) showed an area under the curve of the receiver operating characteristic curve of 76%, with replication in an independent sample of 2,472 individuals who were positive for severe acute respiratory syndrome coronavirus 2. This model could be used to identify individuals at risk of long COVID for trials of prevention or treatment and to plan education and rehabilitation services.","container-title":"Nature Medicine","DOI":"10.1038/s41591-021-01292-y","ISSN":"1546-170X","issue":"4","journalAbbreviation":"Nat Med","language":"en","note":"number: 4\npublisher: Nature Publishing Group","page":"626-631","source":"www.nature.com","title":"Attributes and predictors of long COVID","volume":"27","author":[{"family":"Sudre","given":"Carole H."},{"family":"Murray","given":"Benjamin"},{"family":"Varsavsky","given":"Thomas"},{"family":"Graham","given":"Mark S."},{"family":"Penfold","given":"Rose S."},{"family":"Bowyer","given":"Ruth C."},{"family":"Pujol","given":"Joan Capdevila"},{"family":"Klaser","given":"Kerstin"},{"family":"Antonelli","given":"Michela"},{"family":"Canas","given":"Liane S."},{"family":"Molteni","given":"Erika"},{"family":"Modat","given":"Marc"},{"family":"Jorge Cardoso","given":"M."},{"family":"May","given":"Anna"},{"family":"Ganesh","given":"Sajaysurya"},{"family":"Davies","given":"Richard"},{"family":"Nguyen","given":"Long H."},{"family":"Drew","given":"David A."},{"family":"Astley","given":"Christina M."},{"family":"Joshi","given":"Amit D."},{"family":"Merino","given":"Jordi"},{"family":"Tsereteli","given":"Neli"},{"family":"Fall","given":"Tove"},{"family":"Gomez","given":"Maria F."},{"family":"Duncan","given":"Emma L."},{"family":"Menni","given":"Cristina"},{"family":"Williams","given":"Frances M. K."},{"family":"Franks","given":"Paul W."},{"family":"Chan","given":"Andrew T."},{"family":"Wolf","given":"Jonathan"},{"family":"Ourselin","given":"Sebastien"},{"family":"Spector","given":"Tim"},{"family":"Steves","given":"Claire J."}],"issued":{"date-parts":[["2021",4]]}}},{"id":7875,"uris":["http://zotero.org/users/3111854/items/SCDW3YQP"],"itemData":{"id":7875,"type":"article-journal","abstract":"Background While it is now apparent clinical sequelae (long COVID) may persist after acute COVID-19, their nature, frequency and aetiology are poorly characterised. This study aims to regularly synthesise evidence on long COVID characteristics, to help inform clinical management, rehabilitation strategies and interventional studies to improve long-term outcomes.\nMethods A living systematic review. Medline, CINAHL (EBSCO), Global Health (Ovid), WHO Global Research on COVID-19 database, LitCovid and Google Scholar were searched till 17 March 2021. Studies including at least 100 people with confirmed or clinically suspected COVID-19 at 12 weeks or more post onset were included. Risk of bias was assessed using the tool produced by Hoy et al. Results were analysed using descriptive statistics and meta-analyses to estimate prevalence.\nResults A total of 39 studies were included: 32 cohort, 6 cross-sectional and 1 case–control. Most showed high or moderate risk of bias. None were set in low-income countries and few included children. Studies reported on 10 951 people (48% female) in 12 countries. Most included previously hospitalised people (78%, 8520/10 951). The longest mean follow-up time was 221.7 (SD: 10.9) days post COVID-19 onset. Over 60 physical and psychological signs and symptoms with wide prevalence were reported, most commonly weakness (41%; 95% CI 25% to 59%), general malaise (33%; 95% CI 15% to 57%), fatigue (31%; 95% CI 24% to 39%), concentration impairment (26%; 95% CI 21% to 32%) and breathlessness (25%; 95% CI 18% to 34%). 37% (95% CI 18% to 60%) of patients reported reduced quality of life; 26% (10/39) of studies presented evidence of reduced pulmonary function.\nConclusion Long COVID is a complex condition with prolonged heterogeneous symptoms. The nature of studies precludes a precise case definition or risk evaluation. There is an urgent need for prospective, robust, standardised, controlled studies into aetiology, risk factors and biomarkers to characterise long COVID in different at-risk populations and settings.\nPROSPERO registration number CRD42020211131.","container-title":"BMJ Global Health","DOI":"10.1136/bmjgh-2021-005427","ISSN":"2059-7908","issue":"9","language":"en","note":"publisher: BMJ Specialist Journals\nsection: Original research\nPMID: 34580069","page":"e005427","source":"gh.bmj.com","title":"Characterising long COVID: a living systematic review","title-short":"Characterising long COVID","volume":"6","author":[{"family":"Michelen","given":"Melina"},{"family":"Manoharan","given":"Lakshmi"},{"family":"Elkheir","given":"Natalie"},{"family":"Cheng","given":"Vincent"},{"family":"Dagens","given":"Andrew"},{"family":"Hastie","given":"Claire"},{"family":"O'Hara","given":"Margaret"},{"family":"Suett","given":"Jake"},{"family":"Dahmash","given":"Dania"},{"family":"Bugaeva","given":"Polina"},{"family":"Rigby","given":"Ishmeala"},{"family":"Munblit","given":"Daniel"},{"family":"Harriss","given":"Eli"},{"family":"Burls","given":"Amanda"},{"family":"Foote","given":"Carole"},{"family":"Scott","given":"Janet"},{"family":"Carson","given":"Gail"},{"family":"Olliaro","given":"Piero"},{"family":"Sigfrid","given":"Louise"},{"family":"Stavropoulou","given":"Charitini"}],"issued":{"date-parts":[["2021",9,1]]}}},{"id":7826,"uris":["http://zotero.org/users/3111854/items/SAFPX53P"],"itemData":{"id":7826,"type":"article-journal","container-title":"The Lancet Respiratory Medicine","DOI":"10.1016/S2213-2600(22)00135-7","ISSN":"2213-2600, 2213-2619","issue":"0","journalAbbreviation":"The Lancet Respiratory Medicine","language":"English","note":"publisher: Elsevier","source":"www.thelancet.com","title":"Long COVID: aiming for a consensus","title-short":"Long COVID","URL":"https://www.thelancet.com/journals/lanres/article/PIIS2213-2600(22)00135-7/fulltext","volume":"0","author":[{"family":"Munblit","given":"Daniel"},{"family":"O'Hara","given":"Margaret E."},{"family":"Akrami","given":"Athena"},{"family":"Perego","given":"Elisa"},{"family":"Olliaro","given":"Piero"},{"family":"Needham","given":"Dale M."}],"accessed":{"date-parts":[["2022",6,7]]},"issued":{"date-parts":[["2022",5,4]]}}}],"schema":"https://github.com/citation-style-language/schema/raw/master/csl-citation.json"} </w:instrText>
      </w:r>
      <w:r w:rsidR="00900EED" w:rsidRPr="00900EED">
        <w:rPr>
          <w:sz w:val="24"/>
          <w:szCs w:val="24"/>
        </w:rPr>
        <w:fldChar w:fldCharType="separate"/>
      </w:r>
      <w:r w:rsidR="00B77085" w:rsidRPr="00B77085">
        <w:rPr>
          <w:rFonts w:ascii="Calibri" w:hAnsi="Calibri" w:cs="Calibri"/>
          <w:sz w:val="24"/>
          <w:szCs w:val="24"/>
          <w:vertAlign w:val="superscript"/>
        </w:rPr>
        <w:t>3–8</w:t>
      </w:r>
      <w:r w:rsidR="00900EED" w:rsidRPr="00900EED">
        <w:rPr>
          <w:sz w:val="24"/>
          <w:szCs w:val="24"/>
        </w:rPr>
        <w:fldChar w:fldCharType="end"/>
      </w:r>
      <w:r w:rsidR="00900EED" w:rsidRPr="00900EED">
        <w:rPr>
          <w:sz w:val="24"/>
          <w:szCs w:val="24"/>
        </w:rPr>
        <w:t>.  The fact that symptoms are heterogeneous and may be different in different populations makes it difficult to accurately identify individuals who are suffering from Long COVID, and thus to assess its burden</w:t>
      </w:r>
      <w:r w:rsidR="00900EED" w:rsidRPr="00900EED">
        <w:rPr>
          <w:rFonts w:ascii="Calibri" w:eastAsia="Calibri" w:hAnsi="Calibri" w:cs="Calibri"/>
          <w:sz w:val="24"/>
          <w:szCs w:val="24"/>
          <w:lang w:val="en-GB"/>
        </w:rPr>
        <w:fldChar w:fldCharType="begin"/>
      </w:r>
      <w:r w:rsidR="00B77085">
        <w:rPr>
          <w:rFonts w:ascii="Calibri" w:eastAsia="Calibri" w:hAnsi="Calibri" w:cs="Calibri"/>
          <w:sz w:val="24"/>
          <w:szCs w:val="24"/>
          <w:lang w:val="en-GB"/>
        </w:rPr>
        <w:instrText xml:space="preserve"> ADDIN ZOTERO_ITEM CSL_CITATION {"citationID":"ykwahDma","properties":{"formattedCitation":"\\super 9\\nosupersub{}","plainCitation":"9","noteIndex":0},"citationItems":[{"id":7660,"uris":["http://zotero.org/users/3111854/items/W9LF3HLW"],"itemData":{"id":7660,"type":"article-journal","abstract":"Covid-19 requires policy makers to consider evidence on both population health and economic welfare. Over the last two decades, the field of health economics has developed a range of analytical approaches and contributed to the institutionalisation of processes to employ economic evidence in health policy. We present a discussion outlining how these approaches and processes need to be applied more widely to inform Covid-19 policy; highlighting where they may need to be adapted conceptually and methodologically, and providing examples of work to date. We focus on the evidential and policy needs of low- and middle-income countries; where there is an urgent need for evidence to navigate the policy trade-offs between health and economic well-being posed by the Covid-19 pandemic.","container-title":"Wellcome Open Research","DOI":"10.12688/wellcomeopenres.16380.1","ISSN":"2398-502X","journalAbbreviation":"Wellcome Open Res","language":"en","page":"272","source":"DOI.org (Crossref)","title":"Integrating economic and health evidence to inform Covid-19 policy in low- and middle- income countries","volume":"5","author":[{"family":"Vassall","given":"Anna"},{"family":"Sweeney","given":"Sedona"},{"family":"Barasa","given":"Edwine"},{"family":"Prinja","given":"Shankar"},{"family":"Keogh-Brown","given":"Marcus R"},{"family":"Tarp Jensen","given":"Henning"},{"family":"Smith","given":"Richard"},{"family":"Baltussen","given":"Rob"},{"family":"M Eggo","given":"Rosalind"},{"family":"Jit","given":"Mark"}],"issued":{"date-parts":[["2020",11,19]]}}}],"schema":"https://github.com/citation-style-language/schema/raw/master/csl-citation.json"} </w:instrText>
      </w:r>
      <w:r w:rsidR="00900EED" w:rsidRPr="00900EED">
        <w:rPr>
          <w:rFonts w:ascii="Calibri" w:eastAsia="Calibri" w:hAnsi="Calibri" w:cs="Calibri"/>
          <w:sz w:val="24"/>
          <w:szCs w:val="24"/>
          <w:lang w:val="en-GB"/>
        </w:rPr>
        <w:fldChar w:fldCharType="separate"/>
      </w:r>
      <w:r w:rsidR="00B77085" w:rsidRPr="00B77085">
        <w:rPr>
          <w:rFonts w:ascii="Calibri" w:hAnsi="Calibri" w:cs="Calibri"/>
          <w:sz w:val="24"/>
          <w:szCs w:val="24"/>
          <w:vertAlign w:val="superscript"/>
        </w:rPr>
        <w:t>9</w:t>
      </w:r>
      <w:r w:rsidR="00900EED" w:rsidRPr="00900EED">
        <w:rPr>
          <w:rFonts w:ascii="Calibri" w:eastAsia="Calibri" w:hAnsi="Calibri" w:cs="Calibri"/>
          <w:sz w:val="24"/>
          <w:szCs w:val="24"/>
          <w:lang w:val="en-GB"/>
        </w:rPr>
        <w:fldChar w:fldCharType="end"/>
      </w:r>
      <w:r w:rsidR="00900EED" w:rsidRPr="00900EED">
        <w:rPr>
          <w:sz w:val="24"/>
          <w:szCs w:val="24"/>
        </w:rPr>
        <w:t>.</w:t>
      </w:r>
      <w:r w:rsidR="00900EED" w:rsidRPr="00900EED">
        <w:rPr>
          <w:sz w:val="24"/>
          <w:szCs w:val="24"/>
          <w:lang w:val="en-GB"/>
        </w:rPr>
        <w:t xml:space="preserve"> </w:t>
      </w:r>
    </w:p>
    <w:p w14:paraId="7372A776" w14:textId="7AFA6EBA" w:rsidR="00460AFC" w:rsidRPr="00900EED" w:rsidRDefault="00460AFC" w:rsidP="00395AD3">
      <w:pPr>
        <w:spacing w:after="240"/>
        <w:ind w:left="0"/>
        <w:rPr>
          <w:rFonts w:ascii="Calibri" w:eastAsia="Calibri" w:hAnsi="Calibri" w:cs="Calibri"/>
          <w:sz w:val="24"/>
          <w:szCs w:val="24"/>
          <w:lang w:val="en-GB"/>
        </w:rPr>
      </w:pPr>
      <w:r w:rsidRPr="00900EED">
        <w:rPr>
          <w:rFonts w:ascii="Calibri" w:eastAsia="Calibri" w:hAnsi="Calibri" w:cs="Calibri"/>
          <w:sz w:val="24"/>
          <w:szCs w:val="24"/>
          <w:lang w:val="en-GB"/>
        </w:rPr>
        <w:t>In this context, information on the impact of long-term disease-related disabilities on populations’ well-being and productivity losses is deemed necessary to not underestimate the pandemic’s societal aftermath</w:t>
      </w:r>
      <w:r w:rsidR="00622D0C" w:rsidRPr="00900EED">
        <w:rPr>
          <w:rFonts w:ascii="Calibri" w:eastAsia="Calibri" w:hAnsi="Calibri" w:cs="Calibri"/>
          <w:sz w:val="24"/>
          <w:szCs w:val="24"/>
          <w:lang w:val="en-GB"/>
        </w:rPr>
        <w:fldChar w:fldCharType="begin"/>
      </w:r>
      <w:r w:rsidR="00B77085">
        <w:rPr>
          <w:rFonts w:ascii="Calibri" w:eastAsia="Calibri" w:hAnsi="Calibri" w:cs="Calibri"/>
          <w:sz w:val="24"/>
          <w:szCs w:val="24"/>
          <w:lang w:val="en-GB"/>
        </w:rPr>
        <w:instrText xml:space="preserve"> ADDIN ZOTERO_ITEM CSL_CITATION {"citationID":"YpA8cYRZ","properties":{"formattedCitation":"\\super 10\\nosupersub{}","plainCitation":"10","noteIndex":0},"citationItems":[{"id":7227,"uris":["http://zotero.org/users/3111854/items/HA68QLG3"],"itemData":{"id":7227,"type":"article-journal","abstract":"Focusing only on cases and deaths hides the pandemic’s lasting health burden on people, societies and economies.","container-title":"Nature","DOI":"10.1038/d41586-021-01392-2","issue":"7860","language":"en","note":"Bandiera_abtest: a\nCg_type: Comment\nnumber: 7860\npublisher: Nature Publishing Group\nSubject_term: SARS-CoV-2, Economics, Health care, Public health, Developing world, Vaccines","page":"502-505","source":"www.nature.com","title":"Count the cost of disability caused by COVID-19","volume":"593","author":[{"family":"Briggs","given":"Andrew"},{"family":"Vassall","given":"Anna"}],"issued":{"date-parts":[["2021",5]]}}}],"schema":"https://github.com/citation-style-language/schema/raw/master/csl-citation.json"} </w:instrText>
      </w:r>
      <w:r w:rsidR="00622D0C" w:rsidRPr="00900EED">
        <w:rPr>
          <w:rFonts w:ascii="Calibri" w:eastAsia="Calibri" w:hAnsi="Calibri" w:cs="Calibri"/>
          <w:sz w:val="24"/>
          <w:szCs w:val="24"/>
          <w:lang w:val="en-GB"/>
        </w:rPr>
        <w:fldChar w:fldCharType="separate"/>
      </w:r>
      <w:r w:rsidR="00B77085" w:rsidRPr="00B77085">
        <w:rPr>
          <w:rFonts w:ascii="Calibri" w:hAnsi="Calibri" w:cs="Calibri"/>
          <w:sz w:val="24"/>
          <w:szCs w:val="24"/>
          <w:vertAlign w:val="superscript"/>
        </w:rPr>
        <w:t>10</w:t>
      </w:r>
      <w:r w:rsidR="00622D0C" w:rsidRPr="00900EED">
        <w:rPr>
          <w:rFonts w:ascii="Calibri" w:eastAsia="Calibri" w:hAnsi="Calibri" w:cs="Calibri"/>
          <w:sz w:val="24"/>
          <w:szCs w:val="24"/>
          <w:lang w:val="en-GB"/>
        </w:rPr>
        <w:fldChar w:fldCharType="end"/>
      </w:r>
      <w:r w:rsidRPr="00900EED">
        <w:rPr>
          <w:rFonts w:ascii="Calibri" w:eastAsia="Calibri" w:hAnsi="Calibri" w:cs="Calibri"/>
          <w:sz w:val="24"/>
          <w:szCs w:val="24"/>
          <w:lang w:val="en-GB"/>
        </w:rPr>
        <w:t>. This is relevant especially in low- and middle-income countries (LMICs) as they usually rely on the productivity of people of working age for economic development</w:t>
      </w:r>
      <w:r w:rsidR="00622D0C" w:rsidRPr="00900EED">
        <w:rPr>
          <w:rFonts w:ascii="Calibri" w:eastAsia="Calibri" w:hAnsi="Calibri" w:cs="Calibri"/>
          <w:sz w:val="24"/>
          <w:szCs w:val="24"/>
          <w:lang w:val="en-GB"/>
        </w:rPr>
        <w:fldChar w:fldCharType="begin"/>
      </w:r>
      <w:r w:rsidR="00B77085">
        <w:rPr>
          <w:rFonts w:ascii="Calibri" w:eastAsia="Calibri" w:hAnsi="Calibri" w:cs="Calibri"/>
          <w:sz w:val="24"/>
          <w:szCs w:val="24"/>
          <w:lang w:val="en-GB"/>
        </w:rPr>
        <w:instrText xml:space="preserve"> ADDIN ZOTERO_ITEM CSL_CITATION {"citationID":"Pcs2xBiL","properties":{"formattedCitation":"\\super 9\\nosupersub{}","plainCitation":"9","noteIndex":0},"citationItems":[{"id":7660,"uris":["http://zotero.org/users/3111854/items/W9LF3HLW"],"itemData":{"id":7660,"type":"article-journal","abstract":"Covid-19 requires policy makers to consider evidence on both population health and economic welfare. Over the last two decades, the field of health economics has developed a range of analytical approaches and contributed to the institutionalisation of processes to employ economic evidence in health policy. We present a discussion outlining how these approaches and processes need to be applied more widely to inform Covid-19 policy; highlighting where they may need to be adapted conceptually and methodologically, and providing examples of work to date. We focus on the evidential and policy needs of low- and middle-income countries; where there is an urgent need for evidence to navigate the policy trade-offs between health and economic well-being posed by the Covid-19 pandemic.","container-title":"Wellcome Open Research","DOI":"10.12688/wellcomeopenres.16380.1","ISSN":"2398-502X","journalAbbreviation":"Wellcome Open Res","language":"en","page":"272","source":"DOI.org (Crossref)","title":"Integrating economic and health evidence to inform Covid-19 policy in low- and middle- income countries","volume":"5","author":[{"family":"Vassall","given":"Anna"},{"family":"Sweeney","given":"Sedona"},{"family":"Barasa","given":"Edwine"},{"family":"Prinja","given":"Shankar"},{"family":"Keogh-Brown","given":"Marcus R"},{"family":"Tarp Jensen","given":"Henning"},{"family":"Smith","given":"Richard"},{"family":"Baltussen","given":"Rob"},{"family":"M Eggo","given":"Rosalind"},{"family":"Jit","given":"Mark"}],"issued":{"date-parts":[["2020",11,19]]}}}],"schema":"https://github.com/citation-style-language/schema/raw/master/csl-citation.json"} </w:instrText>
      </w:r>
      <w:r w:rsidR="00622D0C" w:rsidRPr="00900EED">
        <w:rPr>
          <w:rFonts w:ascii="Calibri" w:eastAsia="Calibri" w:hAnsi="Calibri" w:cs="Calibri"/>
          <w:sz w:val="24"/>
          <w:szCs w:val="24"/>
          <w:lang w:val="en-GB"/>
        </w:rPr>
        <w:fldChar w:fldCharType="separate"/>
      </w:r>
      <w:r w:rsidR="00B77085" w:rsidRPr="00B77085">
        <w:rPr>
          <w:rFonts w:ascii="Calibri" w:hAnsi="Calibri" w:cs="Calibri"/>
          <w:sz w:val="24"/>
          <w:szCs w:val="24"/>
          <w:vertAlign w:val="superscript"/>
        </w:rPr>
        <w:t>9</w:t>
      </w:r>
      <w:r w:rsidR="00622D0C" w:rsidRPr="00900EED">
        <w:rPr>
          <w:rFonts w:ascii="Calibri" w:eastAsia="Calibri" w:hAnsi="Calibri" w:cs="Calibri"/>
          <w:sz w:val="24"/>
          <w:szCs w:val="24"/>
          <w:lang w:val="en-GB"/>
        </w:rPr>
        <w:fldChar w:fldCharType="end"/>
      </w:r>
      <w:r w:rsidRPr="00900EED">
        <w:rPr>
          <w:rFonts w:ascii="Calibri" w:eastAsia="Calibri" w:hAnsi="Calibri" w:cs="Calibri"/>
          <w:sz w:val="24"/>
          <w:szCs w:val="24"/>
          <w:lang w:val="en-GB"/>
        </w:rPr>
        <w:t xml:space="preserve">. Information on the long-term consequences of the COVID-19 pandemic can be obtained by using metrics such as </w:t>
      </w:r>
      <w:r w:rsidR="00536D4A">
        <w:rPr>
          <w:rFonts w:ascii="Calibri" w:eastAsia="Calibri" w:hAnsi="Calibri" w:cs="Calibri"/>
          <w:sz w:val="24"/>
          <w:szCs w:val="24"/>
          <w:lang w:val="en-GB"/>
        </w:rPr>
        <w:t>Quality-Adjusted Life Year (</w:t>
      </w:r>
      <w:r w:rsidRPr="00900EED">
        <w:rPr>
          <w:rFonts w:ascii="Calibri" w:eastAsia="Calibri" w:hAnsi="Calibri" w:cs="Calibri"/>
          <w:sz w:val="24"/>
          <w:szCs w:val="24"/>
          <w:lang w:val="en-GB"/>
        </w:rPr>
        <w:t>QALY</w:t>
      </w:r>
      <w:r w:rsidR="00536D4A">
        <w:rPr>
          <w:rFonts w:ascii="Calibri" w:eastAsia="Calibri" w:hAnsi="Calibri" w:cs="Calibri"/>
          <w:sz w:val="24"/>
          <w:szCs w:val="24"/>
          <w:lang w:val="en-GB"/>
        </w:rPr>
        <w:t>) losses</w:t>
      </w:r>
      <w:r w:rsidRPr="00900EED">
        <w:rPr>
          <w:rFonts w:ascii="Calibri" w:eastAsia="Calibri" w:hAnsi="Calibri" w:cs="Calibri"/>
          <w:sz w:val="24"/>
          <w:szCs w:val="24"/>
          <w:lang w:val="en-GB"/>
        </w:rPr>
        <w:t xml:space="preserve"> and </w:t>
      </w:r>
      <w:r w:rsidR="00536D4A">
        <w:rPr>
          <w:rFonts w:ascii="Calibri" w:eastAsia="Calibri" w:hAnsi="Calibri" w:cs="Calibri"/>
          <w:sz w:val="24"/>
          <w:szCs w:val="24"/>
          <w:lang w:val="en-GB"/>
        </w:rPr>
        <w:t>Disability-Adjusted Life Years (</w:t>
      </w:r>
      <w:r w:rsidRPr="00900EED">
        <w:rPr>
          <w:rFonts w:ascii="Calibri" w:eastAsia="Calibri" w:hAnsi="Calibri" w:cs="Calibri"/>
          <w:sz w:val="24"/>
          <w:szCs w:val="24"/>
          <w:lang w:val="en-GB"/>
        </w:rPr>
        <w:t>DALY</w:t>
      </w:r>
      <w:r w:rsidR="00536D4A">
        <w:rPr>
          <w:rFonts w:ascii="Calibri" w:eastAsia="Calibri" w:hAnsi="Calibri" w:cs="Calibri"/>
          <w:sz w:val="24"/>
          <w:szCs w:val="24"/>
          <w:lang w:val="en-GB"/>
        </w:rPr>
        <w:t>s)</w:t>
      </w:r>
      <w:r w:rsidRPr="00900EED">
        <w:rPr>
          <w:rFonts w:ascii="Calibri" w:eastAsia="Calibri" w:hAnsi="Calibri" w:cs="Calibri"/>
          <w:sz w:val="24"/>
          <w:szCs w:val="24"/>
          <w:lang w:val="en-GB"/>
        </w:rPr>
        <w:t>. These metrics capture the impact of illness on a person’s life course by combining the years lived while suffering from a health condition and years of life lost due to premature death</w:t>
      </w:r>
      <w:r w:rsidR="00622D0C" w:rsidRPr="00900EED">
        <w:rPr>
          <w:rFonts w:ascii="Calibri" w:eastAsia="Calibri" w:hAnsi="Calibri" w:cs="Calibri"/>
          <w:sz w:val="24"/>
          <w:szCs w:val="24"/>
          <w:lang w:val="en-GB"/>
        </w:rPr>
        <w:fldChar w:fldCharType="begin"/>
      </w:r>
      <w:r w:rsidR="00B77085">
        <w:rPr>
          <w:rFonts w:ascii="Calibri" w:eastAsia="Calibri" w:hAnsi="Calibri" w:cs="Calibri"/>
          <w:sz w:val="24"/>
          <w:szCs w:val="24"/>
          <w:lang w:val="en-GB"/>
        </w:rPr>
        <w:instrText xml:space="preserve"> ADDIN ZOTERO_ITEM CSL_CITATION {"citationID":"xf5rdhGl","properties":{"formattedCitation":"\\super 9,10\\nosupersub{}","plainCitation":"9,10","noteIndex":0},"citationItems":[{"id":7227,"uris":["http://zotero.org/users/3111854/items/HA68QLG3"],"itemData":{"id":7227,"type":"article-journal","abstract":"Focusing only on cases and deaths hides the pandemic’s lasting health burden on people, societies and economies.","container-title":"Nature","DOI":"10.1038/d41586-021-01392-2","issue":"7860","language":"en","note":"Bandiera_abtest: a\nCg_type: Comment\nnumber: 7860\npublisher: Nature Publishing Group\nSubject_term: SARS-CoV-2, Economics, Health care, Public health, Developing world, Vaccines","page":"502-505","source":"www.nature.com","title":"Count the cost of disability caused by COVID-19","volume":"593","author":[{"family":"Briggs","given":"Andrew"},{"family":"Vassall","given":"Anna"}],"issued":{"date-parts":[["2021",5]]}}},{"id":7660,"uris":["http://zotero.org/users/3111854/items/W9LF3HLW"],"itemData":{"id":7660,"type":"article-journal","abstract":"Covid-19 requires policy makers to consider evidence on both population health and economic welfare. Over the last two decades, the field of health economics has developed a range of analytical approaches and contributed to the institutionalisation of processes to employ economic evidence in health policy. We present a discussion outlining how these approaches and processes need to be applied more widely to inform Covid-19 policy; highlighting where they may need to be adapted conceptually and methodologically, and providing examples of work to date. We focus on the evidential and policy needs of low- and middle-income countries; where there is an urgent need for evidence to navigate the policy trade-offs between health and economic well-being posed by the Covid-19 pandemic.","container-title":"Wellcome Open Research","DOI":"10.12688/wellcomeopenres.16380.1","ISSN":"2398-502X","journalAbbreviation":"Wellcome Open Res","language":"en","page":"272","source":"DOI.org (Crossref)","title":"Integrating economic and health evidence to inform Covid-19 policy in low- and middle- income countries","volume":"5","author":[{"family":"Vassall","given":"Anna"},{"family":"Sweeney","given":"Sedona"},{"family":"Barasa","given":"Edwine"},{"family":"Prinja","given":"Shankar"},{"family":"Keogh-Brown","given":"Marcus R"},{"family":"Tarp Jensen","given":"Henning"},{"family":"Smith","given":"Richard"},{"family":"Baltussen","given":"Rob"},{"family":"M Eggo","given":"Rosalind"},{"family":"Jit","given":"Mark"}],"issued":{"date-parts":[["2020",11,19]]}}}],"schema":"https://github.com/citation-style-language/schema/raw/master/csl-citation.json"} </w:instrText>
      </w:r>
      <w:r w:rsidR="00622D0C" w:rsidRPr="00900EED">
        <w:rPr>
          <w:rFonts w:ascii="Calibri" w:eastAsia="Calibri" w:hAnsi="Calibri" w:cs="Calibri"/>
          <w:sz w:val="24"/>
          <w:szCs w:val="24"/>
          <w:lang w:val="en-GB"/>
        </w:rPr>
        <w:fldChar w:fldCharType="separate"/>
      </w:r>
      <w:r w:rsidR="00B77085" w:rsidRPr="00B77085">
        <w:rPr>
          <w:rFonts w:ascii="Calibri" w:hAnsi="Calibri" w:cs="Calibri"/>
          <w:sz w:val="24"/>
          <w:szCs w:val="24"/>
          <w:vertAlign w:val="superscript"/>
        </w:rPr>
        <w:t>9,10</w:t>
      </w:r>
      <w:r w:rsidR="00622D0C" w:rsidRPr="00900EED">
        <w:rPr>
          <w:rFonts w:ascii="Calibri" w:eastAsia="Calibri" w:hAnsi="Calibri" w:cs="Calibri"/>
          <w:sz w:val="24"/>
          <w:szCs w:val="24"/>
          <w:lang w:val="en-GB"/>
        </w:rPr>
        <w:fldChar w:fldCharType="end"/>
      </w:r>
      <w:r w:rsidRPr="00900EED">
        <w:rPr>
          <w:rFonts w:ascii="Calibri" w:eastAsia="Calibri" w:hAnsi="Calibri" w:cs="Calibri"/>
          <w:sz w:val="24"/>
          <w:szCs w:val="24"/>
          <w:lang w:val="en-GB"/>
        </w:rPr>
        <w:t>. It is also relevant to know how QALY losses and DALYs due to Long COVID translates into productivity losses. As an added value, these metrics can provide inputs to models estimating the population-wide impact on health and economic consequences of COVID-19 under different epidemic scenarios, and, therefore, help decision-makers to decide how to allocate already limited resources in such a way that benefits society the most.</w:t>
      </w:r>
    </w:p>
    <w:p w14:paraId="3049A219" w14:textId="3C3E454C" w:rsidR="00900EED" w:rsidRPr="00900EED" w:rsidRDefault="00460AFC" w:rsidP="00395AD3">
      <w:pPr>
        <w:spacing w:after="240"/>
        <w:ind w:left="0"/>
        <w:rPr>
          <w:rFonts w:cstheme="minorHAnsi"/>
          <w:sz w:val="24"/>
          <w:szCs w:val="24"/>
          <w:lang w:val="en-GB"/>
        </w:rPr>
      </w:pPr>
      <w:r w:rsidRPr="00900EED">
        <w:rPr>
          <w:rFonts w:ascii="Calibri" w:eastAsia="Calibri" w:hAnsi="Calibri" w:cs="Calibri"/>
          <w:sz w:val="24"/>
          <w:szCs w:val="24"/>
          <w:lang w:val="en-GB"/>
        </w:rPr>
        <w:t>Kenya has not been spared from the COVID-19 scourge and has continued to experience waves of the pandemic</w:t>
      </w:r>
      <w:r w:rsidR="00622D0C" w:rsidRPr="00900EED">
        <w:rPr>
          <w:rFonts w:ascii="Calibri" w:eastAsia="Calibri" w:hAnsi="Calibri" w:cs="Calibri"/>
          <w:sz w:val="24"/>
          <w:szCs w:val="24"/>
          <w:lang w:val="en-GB"/>
        </w:rPr>
        <w:fldChar w:fldCharType="begin"/>
      </w:r>
      <w:r w:rsidR="007035DE" w:rsidRPr="00900EED">
        <w:rPr>
          <w:rFonts w:ascii="Calibri" w:eastAsia="Calibri" w:hAnsi="Calibri" w:cs="Calibri"/>
          <w:sz w:val="24"/>
          <w:szCs w:val="24"/>
          <w:lang w:val="en-GB"/>
        </w:rPr>
        <w:instrText xml:space="preserve"> ADDIN ZOTERO_ITEM CSL_CITATION {"citationID":"D0ktePD5","properties":{"formattedCitation":"\\super 11\\nosupersub{}","plainCitation":"11","noteIndex":0},"citationItems":[{"id":7661,"uris":["http://zotero.org/users/3111854/items/83RHXMW6"],"itemData":{"id":7661,"type":"webpage","abstract":"Kenya Coronavirus(COVID-19) statistics. Total and daily confirmed cases and deaths.","language":"en","title":"Kenya: WHO Coronavirus Disease (COVID-19) Dashboard With Vaccination Data","title-short":"Kenya","URL":"https://covid19.who.int","accessed":{"date-parts":[["2022",5,13]]}}}],"schema":"https://github.com/citation-style-language/schema/raw/master/csl-citation.json"} </w:instrText>
      </w:r>
      <w:r w:rsidR="00622D0C" w:rsidRPr="00900EED">
        <w:rPr>
          <w:rFonts w:ascii="Calibri" w:eastAsia="Calibri" w:hAnsi="Calibri" w:cs="Calibri"/>
          <w:sz w:val="24"/>
          <w:szCs w:val="24"/>
          <w:lang w:val="en-GB"/>
        </w:rPr>
        <w:fldChar w:fldCharType="separate"/>
      </w:r>
      <w:r w:rsidR="007035DE" w:rsidRPr="00900EED">
        <w:rPr>
          <w:rFonts w:ascii="Calibri" w:hAnsi="Calibri" w:cs="Calibri"/>
          <w:sz w:val="24"/>
          <w:szCs w:val="24"/>
          <w:vertAlign w:val="superscript"/>
        </w:rPr>
        <w:t>11</w:t>
      </w:r>
      <w:r w:rsidR="00622D0C" w:rsidRPr="00900EED">
        <w:rPr>
          <w:rFonts w:ascii="Calibri" w:eastAsia="Calibri" w:hAnsi="Calibri" w:cs="Calibri"/>
          <w:sz w:val="24"/>
          <w:szCs w:val="24"/>
          <w:lang w:val="en-GB"/>
        </w:rPr>
        <w:fldChar w:fldCharType="end"/>
      </w:r>
      <w:r w:rsidRPr="00900EED">
        <w:rPr>
          <w:rFonts w:ascii="Calibri" w:eastAsia="Calibri" w:hAnsi="Calibri" w:cs="Calibri"/>
          <w:sz w:val="24"/>
          <w:szCs w:val="24"/>
          <w:lang w:val="en-GB"/>
        </w:rPr>
        <w:t xml:space="preserve">. The first COVID-19 case in Kenya was reported on 12th March 2020 in Nairobi (Kenya’s capital) and since then Kenya has recorded 323,939 cases and 6,649 deaths (as of 13 May 2022). The COVID-19 pandemic reports have focused primarily </w:t>
      </w:r>
      <w:r w:rsidRPr="00900EED">
        <w:rPr>
          <w:rFonts w:ascii="Calibri" w:eastAsia="Calibri" w:hAnsi="Calibri" w:cs="Calibri"/>
          <w:sz w:val="24"/>
          <w:szCs w:val="24"/>
          <w:lang w:val="en-GB"/>
        </w:rPr>
        <w:lastRenderedPageBreak/>
        <w:t xml:space="preserve">on evaluating the number of cases, hospitalizations, and deaths. These statistics are important, yet insufficient </w:t>
      </w:r>
      <w:r w:rsidR="00E71E85">
        <w:rPr>
          <w:rFonts w:ascii="Calibri" w:eastAsia="Calibri" w:hAnsi="Calibri" w:cs="Calibri"/>
          <w:sz w:val="24"/>
          <w:szCs w:val="24"/>
          <w:lang w:val="en-GB"/>
        </w:rPr>
        <w:t xml:space="preserve">to </w:t>
      </w:r>
      <w:r w:rsidRPr="00900EED">
        <w:rPr>
          <w:rFonts w:ascii="Calibri" w:eastAsia="Calibri" w:hAnsi="Calibri" w:cs="Calibri"/>
          <w:sz w:val="24"/>
          <w:szCs w:val="24"/>
          <w:lang w:val="en-GB"/>
        </w:rPr>
        <w:t xml:space="preserve">provide a better understanding of the </w:t>
      </w:r>
      <w:r w:rsidR="002E5017">
        <w:rPr>
          <w:rFonts w:ascii="Calibri" w:eastAsia="Calibri" w:hAnsi="Calibri" w:cs="Calibri"/>
          <w:sz w:val="24"/>
          <w:szCs w:val="24"/>
          <w:lang w:val="en-GB"/>
        </w:rPr>
        <w:t xml:space="preserve">long-term </w:t>
      </w:r>
      <w:r w:rsidRPr="00900EED">
        <w:rPr>
          <w:rFonts w:ascii="Calibri" w:eastAsia="Calibri" w:hAnsi="Calibri" w:cs="Calibri"/>
          <w:sz w:val="24"/>
          <w:szCs w:val="24"/>
          <w:lang w:val="en-GB"/>
        </w:rPr>
        <w:t>impact of Long COVID on health and its economic consequences from a societal perspective.</w:t>
      </w:r>
      <w:r w:rsidR="00876140">
        <w:rPr>
          <w:rFonts w:ascii="Calibri" w:eastAsia="Calibri" w:hAnsi="Calibri" w:cs="Calibri"/>
          <w:sz w:val="24"/>
          <w:szCs w:val="24"/>
          <w:lang w:val="en-GB"/>
        </w:rPr>
        <w:t xml:space="preserve"> Therefore, t</w:t>
      </w:r>
      <w:r w:rsidR="00900EED" w:rsidRPr="00900EED">
        <w:rPr>
          <w:sz w:val="24"/>
          <w:szCs w:val="24"/>
          <w:lang w:val="en-GB"/>
        </w:rPr>
        <w:t>his study aims to</w:t>
      </w:r>
      <w:r w:rsidR="00E71E85">
        <w:rPr>
          <w:sz w:val="24"/>
          <w:szCs w:val="24"/>
          <w:lang w:val="en-GB"/>
        </w:rPr>
        <w:t xml:space="preserve"> provide information on the burden of Long COVID by </w:t>
      </w:r>
      <w:r w:rsidR="00900EED" w:rsidRPr="00900EED">
        <w:rPr>
          <w:rFonts w:cstheme="minorHAnsi"/>
          <w:sz w:val="24"/>
          <w:szCs w:val="24"/>
          <w:lang w:val="en-GB"/>
        </w:rPr>
        <w:t>estimat</w:t>
      </w:r>
      <w:r w:rsidR="00E71E85">
        <w:rPr>
          <w:rFonts w:cstheme="minorHAnsi"/>
          <w:sz w:val="24"/>
          <w:szCs w:val="24"/>
          <w:lang w:val="en-GB"/>
        </w:rPr>
        <w:t>ing</w:t>
      </w:r>
      <w:r w:rsidR="00900EED" w:rsidRPr="00900EED">
        <w:rPr>
          <w:rFonts w:cstheme="minorHAnsi"/>
          <w:sz w:val="24"/>
          <w:szCs w:val="24"/>
          <w:lang w:val="en-GB"/>
        </w:rPr>
        <w:t xml:space="preserve"> the </w:t>
      </w:r>
      <w:r w:rsidR="00900EED" w:rsidRPr="00900EED">
        <w:rPr>
          <w:rFonts w:cstheme="minorHAnsi"/>
          <w:sz w:val="24"/>
          <w:szCs w:val="24"/>
          <w:shd w:val="clear" w:color="auto" w:fill="FFFFFF"/>
          <w:lang w:val="en-GB"/>
        </w:rPr>
        <w:t>QALY loss</w:t>
      </w:r>
      <w:r w:rsidR="00536D4A">
        <w:rPr>
          <w:rFonts w:cstheme="minorHAnsi"/>
          <w:sz w:val="24"/>
          <w:szCs w:val="24"/>
          <w:shd w:val="clear" w:color="auto" w:fill="FFFFFF"/>
          <w:lang w:val="en-GB"/>
        </w:rPr>
        <w:t>es</w:t>
      </w:r>
      <w:r w:rsidR="00900EED" w:rsidRPr="00900EED">
        <w:rPr>
          <w:rFonts w:cstheme="minorHAnsi"/>
          <w:sz w:val="24"/>
          <w:szCs w:val="24"/>
          <w:shd w:val="clear" w:color="auto" w:fill="FFFFFF"/>
          <w:lang w:val="en-GB"/>
        </w:rPr>
        <w:t>, DALYs</w:t>
      </w:r>
      <w:r w:rsidR="00536D4A">
        <w:rPr>
          <w:rFonts w:cstheme="minorHAnsi"/>
          <w:sz w:val="24"/>
          <w:szCs w:val="24"/>
          <w:shd w:val="clear" w:color="auto" w:fill="FFFFFF"/>
          <w:lang w:val="en-GB"/>
        </w:rPr>
        <w:t>,</w:t>
      </w:r>
      <w:r w:rsidR="00900EED" w:rsidRPr="00900EED">
        <w:rPr>
          <w:rFonts w:cstheme="minorHAnsi"/>
          <w:sz w:val="24"/>
          <w:szCs w:val="24"/>
          <w:shd w:val="clear" w:color="auto" w:fill="FFFFFF"/>
          <w:lang w:val="en-GB"/>
        </w:rPr>
        <w:t xml:space="preserve"> and productivity loss due to</w:t>
      </w:r>
      <w:r w:rsidR="00900EED" w:rsidRPr="00900EED">
        <w:rPr>
          <w:rFonts w:cstheme="minorHAnsi"/>
          <w:sz w:val="24"/>
          <w:szCs w:val="24"/>
          <w:lang w:val="en-GB"/>
        </w:rPr>
        <w:t xml:space="preserve"> Long COVID in Kenya.</w:t>
      </w:r>
    </w:p>
    <w:p w14:paraId="4322B15A" w14:textId="1B992A6F" w:rsidR="00164A49" w:rsidRPr="00395AD3" w:rsidRDefault="00164A49" w:rsidP="00395AD3">
      <w:pPr>
        <w:pStyle w:val="ListParagraph"/>
        <w:numPr>
          <w:ilvl w:val="0"/>
          <w:numId w:val="2"/>
        </w:numPr>
        <w:rPr>
          <w:b/>
          <w:bCs/>
          <w:sz w:val="28"/>
          <w:szCs w:val="28"/>
          <w:lang w:val="en-GB"/>
        </w:rPr>
      </w:pPr>
      <w:r w:rsidRPr="00395AD3">
        <w:rPr>
          <w:b/>
          <w:bCs/>
          <w:sz w:val="28"/>
          <w:szCs w:val="28"/>
          <w:lang w:val="en-GB"/>
        </w:rPr>
        <w:t>Methods</w:t>
      </w:r>
    </w:p>
    <w:p w14:paraId="5D3B9EE4" w14:textId="61442097" w:rsidR="00164A49" w:rsidRPr="00860ADD" w:rsidRDefault="00395AD3" w:rsidP="00277C2A">
      <w:pPr>
        <w:pStyle w:val="ListParagraph"/>
        <w:numPr>
          <w:ilvl w:val="1"/>
          <w:numId w:val="2"/>
        </w:numPr>
        <w:rPr>
          <w:b/>
          <w:bCs/>
          <w:sz w:val="24"/>
          <w:szCs w:val="24"/>
          <w:lang w:val="en-GB"/>
        </w:rPr>
      </w:pPr>
      <w:r w:rsidRPr="00860ADD">
        <w:rPr>
          <w:b/>
          <w:bCs/>
          <w:sz w:val="24"/>
          <w:szCs w:val="24"/>
          <w:lang w:val="en-GB"/>
        </w:rPr>
        <w:t>Target population</w:t>
      </w:r>
    </w:p>
    <w:p w14:paraId="65ED723B" w14:textId="0AAEB6F1" w:rsidR="00277C2A" w:rsidRPr="00277C2A" w:rsidRDefault="00925808" w:rsidP="00277C2A">
      <w:pPr>
        <w:ind w:left="0"/>
        <w:rPr>
          <w:sz w:val="24"/>
          <w:szCs w:val="24"/>
          <w:lang w:val="en-GB"/>
        </w:rPr>
      </w:pPr>
      <w:r w:rsidRPr="00460AFC">
        <w:rPr>
          <w:rFonts w:ascii="Calibri" w:eastAsia="Calibri" w:hAnsi="Calibri" w:cs="Calibri"/>
          <w:sz w:val="24"/>
          <w:szCs w:val="24"/>
          <w:lang w:val="en-GB"/>
        </w:rPr>
        <w:t xml:space="preserve">The target population </w:t>
      </w:r>
      <w:r>
        <w:rPr>
          <w:rFonts w:ascii="Calibri" w:eastAsia="Calibri" w:hAnsi="Calibri" w:cs="Calibri"/>
          <w:sz w:val="24"/>
          <w:szCs w:val="24"/>
          <w:lang w:val="en-GB"/>
        </w:rPr>
        <w:t xml:space="preserve">of the model </w:t>
      </w:r>
      <w:r w:rsidRPr="00460AFC">
        <w:rPr>
          <w:rFonts w:ascii="Calibri" w:eastAsia="Calibri" w:hAnsi="Calibri" w:cs="Calibri"/>
          <w:sz w:val="24"/>
          <w:szCs w:val="24"/>
          <w:lang w:val="en-GB"/>
        </w:rPr>
        <w:t xml:space="preserve">included </w:t>
      </w:r>
      <w:r>
        <w:rPr>
          <w:rFonts w:ascii="Calibri" w:eastAsia="Calibri" w:hAnsi="Calibri" w:cs="Calibri"/>
          <w:sz w:val="24"/>
          <w:szCs w:val="24"/>
          <w:lang w:val="en-GB"/>
        </w:rPr>
        <w:t xml:space="preserve">data on </w:t>
      </w:r>
      <w:r w:rsidRPr="00460AFC">
        <w:rPr>
          <w:rFonts w:ascii="Calibri" w:eastAsia="Calibri" w:hAnsi="Calibri" w:cs="Calibri"/>
          <w:sz w:val="24"/>
          <w:szCs w:val="24"/>
          <w:lang w:val="en-GB"/>
        </w:rPr>
        <w:t xml:space="preserve">adults ≥18 years </w:t>
      </w:r>
      <w:r>
        <w:rPr>
          <w:rFonts w:ascii="Calibri" w:eastAsia="Calibri" w:hAnsi="Calibri" w:cs="Calibri"/>
          <w:sz w:val="24"/>
          <w:szCs w:val="24"/>
          <w:lang w:val="en-GB"/>
        </w:rPr>
        <w:t xml:space="preserve">who tested positive for </w:t>
      </w:r>
      <w:r w:rsidRPr="00460AFC">
        <w:rPr>
          <w:rFonts w:ascii="Calibri" w:eastAsia="Calibri" w:hAnsi="Calibri" w:cs="Calibri"/>
          <w:sz w:val="24"/>
          <w:szCs w:val="24"/>
          <w:lang w:val="en-GB"/>
        </w:rPr>
        <w:t>COVID-19 infection with no symptoms</w:t>
      </w:r>
      <w:r>
        <w:rPr>
          <w:rFonts w:ascii="Calibri" w:eastAsia="Calibri" w:hAnsi="Calibri" w:cs="Calibri"/>
          <w:sz w:val="24"/>
          <w:szCs w:val="24"/>
          <w:lang w:val="en-GB"/>
        </w:rPr>
        <w:t xml:space="preserve"> (i.e., asymptomatic)</w:t>
      </w:r>
      <w:r w:rsidRPr="00460AFC">
        <w:rPr>
          <w:rFonts w:ascii="Calibri" w:eastAsia="Calibri" w:hAnsi="Calibri" w:cs="Calibri"/>
          <w:sz w:val="24"/>
          <w:szCs w:val="24"/>
          <w:lang w:val="en-GB"/>
        </w:rPr>
        <w:t>, mild</w:t>
      </w:r>
      <w:r w:rsidR="009B7D34">
        <w:rPr>
          <w:rFonts w:ascii="Calibri" w:eastAsia="Calibri" w:hAnsi="Calibri" w:cs="Calibri"/>
          <w:sz w:val="24"/>
          <w:szCs w:val="24"/>
          <w:lang w:val="en-GB"/>
        </w:rPr>
        <w:t>/</w:t>
      </w:r>
      <w:r w:rsidRPr="00460AFC">
        <w:rPr>
          <w:rFonts w:ascii="Calibri" w:eastAsia="Calibri" w:hAnsi="Calibri" w:cs="Calibri"/>
          <w:sz w:val="24"/>
          <w:szCs w:val="24"/>
          <w:lang w:val="en-GB"/>
        </w:rPr>
        <w:t>moderate, and severe symptoms</w:t>
      </w:r>
      <w:r>
        <w:rPr>
          <w:rFonts w:ascii="Calibri" w:eastAsia="Calibri" w:hAnsi="Calibri" w:cs="Calibri"/>
          <w:sz w:val="24"/>
          <w:szCs w:val="24"/>
          <w:lang w:val="en-GB"/>
        </w:rPr>
        <w:t xml:space="preserve"> between January 2021 and January 2022</w:t>
      </w:r>
      <w:r w:rsidR="00EF6FB6">
        <w:rPr>
          <w:rFonts w:ascii="Calibri" w:eastAsia="Calibri" w:hAnsi="Calibri" w:cs="Calibri"/>
          <w:sz w:val="24"/>
          <w:szCs w:val="24"/>
          <w:lang w:val="en-GB"/>
        </w:rPr>
        <w:t xml:space="preserve"> with a 10</w:t>
      </w:r>
      <w:r w:rsidR="009F1545">
        <w:rPr>
          <w:rFonts w:ascii="Calibri" w:eastAsia="Calibri" w:hAnsi="Calibri" w:cs="Calibri"/>
          <w:sz w:val="24"/>
          <w:szCs w:val="24"/>
          <w:lang w:val="en-GB"/>
        </w:rPr>
        <w:t>-year</w:t>
      </w:r>
      <w:r w:rsidR="00EF6FB6">
        <w:rPr>
          <w:rFonts w:ascii="Calibri" w:eastAsia="Calibri" w:hAnsi="Calibri" w:cs="Calibri"/>
          <w:sz w:val="24"/>
          <w:szCs w:val="24"/>
          <w:lang w:val="en-GB"/>
        </w:rPr>
        <w:t xml:space="preserve"> follow-up.</w:t>
      </w:r>
    </w:p>
    <w:p w14:paraId="46A5E4E8" w14:textId="3D308A2B" w:rsidR="00395AD3" w:rsidRPr="00860ADD" w:rsidRDefault="00395AD3" w:rsidP="009F1545">
      <w:pPr>
        <w:pStyle w:val="ListParagraph"/>
        <w:numPr>
          <w:ilvl w:val="1"/>
          <w:numId w:val="2"/>
        </w:numPr>
        <w:rPr>
          <w:b/>
          <w:bCs/>
          <w:sz w:val="24"/>
          <w:szCs w:val="24"/>
          <w:lang w:val="en-GB"/>
        </w:rPr>
      </w:pPr>
      <w:r w:rsidRPr="00860ADD">
        <w:rPr>
          <w:b/>
          <w:bCs/>
          <w:sz w:val="24"/>
          <w:szCs w:val="24"/>
          <w:lang w:val="en-GB"/>
        </w:rPr>
        <w:t>Setting</w:t>
      </w:r>
    </w:p>
    <w:p w14:paraId="4EF236E3" w14:textId="18ECC77C" w:rsidR="009F1545" w:rsidRPr="009F1545" w:rsidRDefault="009F1545" w:rsidP="009F1545">
      <w:pPr>
        <w:ind w:left="0"/>
        <w:rPr>
          <w:sz w:val="24"/>
          <w:szCs w:val="24"/>
          <w:lang w:val="en-GB"/>
        </w:rPr>
      </w:pPr>
      <w:r>
        <w:rPr>
          <w:sz w:val="24"/>
          <w:szCs w:val="24"/>
          <w:lang w:val="en-GB"/>
        </w:rPr>
        <w:t xml:space="preserve">The Kenyan Health Care System is </w:t>
      </w:r>
      <w:r w:rsidR="000A4942">
        <w:rPr>
          <w:sz w:val="24"/>
          <w:szCs w:val="24"/>
          <w:lang w:val="en-GB"/>
        </w:rPr>
        <w:t>provided by public and private healthcare facilities, and it is structured</w:t>
      </w:r>
      <w:r>
        <w:rPr>
          <w:sz w:val="24"/>
          <w:szCs w:val="24"/>
          <w:lang w:val="en-GB"/>
        </w:rPr>
        <w:t xml:space="preserve"> in </w:t>
      </w:r>
      <w:r w:rsidR="005D72BB">
        <w:rPr>
          <w:sz w:val="24"/>
          <w:szCs w:val="24"/>
          <w:lang w:val="en-GB"/>
        </w:rPr>
        <w:t xml:space="preserve">six levels (i.e., </w:t>
      </w:r>
      <w:r w:rsidR="000A4942">
        <w:rPr>
          <w:sz w:val="24"/>
          <w:szCs w:val="24"/>
          <w:lang w:val="en-GB"/>
        </w:rPr>
        <w:t xml:space="preserve">community, </w:t>
      </w:r>
      <w:r w:rsidR="005D72BB">
        <w:rPr>
          <w:sz w:val="24"/>
          <w:szCs w:val="24"/>
          <w:lang w:val="en-GB"/>
        </w:rPr>
        <w:t xml:space="preserve">dispensaries, health centres, </w:t>
      </w:r>
      <w:r w:rsidR="000A4942">
        <w:rPr>
          <w:sz w:val="24"/>
          <w:szCs w:val="24"/>
          <w:lang w:val="en-GB"/>
        </w:rPr>
        <w:t>primary referral facilities</w:t>
      </w:r>
      <w:r w:rsidR="005D72BB">
        <w:rPr>
          <w:sz w:val="24"/>
          <w:szCs w:val="24"/>
          <w:lang w:val="en-GB"/>
        </w:rPr>
        <w:t xml:space="preserve">, </w:t>
      </w:r>
      <w:r w:rsidR="000A4942">
        <w:rPr>
          <w:sz w:val="24"/>
          <w:szCs w:val="24"/>
          <w:lang w:val="en-GB"/>
        </w:rPr>
        <w:t>secondary referral facilities</w:t>
      </w:r>
      <w:r w:rsidR="005D72BB">
        <w:rPr>
          <w:sz w:val="24"/>
          <w:szCs w:val="24"/>
          <w:lang w:val="en-GB"/>
        </w:rPr>
        <w:t xml:space="preserve">, </w:t>
      </w:r>
      <w:r w:rsidR="000A4942">
        <w:rPr>
          <w:sz w:val="24"/>
          <w:szCs w:val="24"/>
          <w:lang w:val="en-GB"/>
        </w:rPr>
        <w:t xml:space="preserve">and provincial and </w:t>
      </w:r>
      <w:r w:rsidR="005D72BB">
        <w:rPr>
          <w:sz w:val="24"/>
          <w:szCs w:val="24"/>
          <w:lang w:val="en-GB"/>
        </w:rPr>
        <w:t>national hospital)</w:t>
      </w:r>
      <w:r w:rsidR="00B77085">
        <w:rPr>
          <w:sz w:val="24"/>
          <w:szCs w:val="24"/>
          <w:lang w:val="en-GB"/>
        </w:rPr>
        <w:fldChar w:fldCharType="begin"/>
      </w:r>
      <w:r w:rsidR="00B77085">
        <w:rPr>
          <w:sz w:val="24"/>
          <w:szCs w:val="24"/>
          <w:lang w:val="en-GB"/>
        </w:rPr>
        <w:instrText xml:space="preserve"> ADDIN ZOTERO_ITEM CSL_CITATION {"citationID":"QHYUdCYs","properties":{"formattedCitation":"\\super 12\\nosupersub{}","plainCitation":"12","noteIndex":0},"citationItems":[{"id":7930,"uris":["http://zotero.org/users/3111854/items/ND8FIBPF"],"itemData":{"id":7930,"type":"webpage","abstract":"Kenya Health policy 2014 to 2030","language":"en","title":"Kenya Health policy 2014 to 2030","URL":"http://publications.universalhealth2030.org/ref/d6e32af10e5c515876d34f801774aa9a","author":[{"family":"Kenya","given":"Ministry of Health"}],"accessed":{"date-parts":[["2022",7,5]]}}}],"schema":"https://github.com/citation-style-language/schema/raw/master/csl-citation.json"} </w:instrText>
      </w:r>
      <w:r w:rsidR="00B77085">
        <w:rPr>
          <w:sz w:val="24"/>
          <w:szCs w:val="24"/>
          <w:lang w:val="en-GB"/>
        </w:rPr>
        <w:fldChar w:fldCharType="separate"/>
      </w:r>
      <w:r w:rsidR="00B77085" w:rsidRPr="00B77085">
        <w:rPr>
          <w:rFonts w:ascii="Calibri" w:hAnsi="Calibri" w:cs="Calibri"/>
          <w:sz w:val="24"/>
          <w:szCs w:val="24"/>
          <w:vertAlign w:val="superscript"/>
        </w:rPr>
        <w:t>12</w:t>
      </w:r>
      <w:r w:rsidR="00B77085">
        <w:rPr>
          <w:sz w:val="24"/>
          <w:szCs w:val="24"/>
          <w:lang w:val="en-GB"/>
        </w:rPr>
        <w:fldChar w:fldCharType="end"/>
      </w:r>
      <w:r w:rsidR="005D72BB">
        <w:rPr>
          <w:sz w:val="24"/>
          <w:szCs w:val="24"/>
          <w:lang w:val="en-GB"/>
        </w:rPr>
        <w:t xml:space="preserve">. </w:t>
      </w:r>
      <w:r w:rsidR="006F7C24">
        <w:rPr>
          <w:sz w:val="24"/>
          <w:szCs w:val="24"/>
          <w:lang w:val="en-GB"/>
        </w:rPr>
        <w:t>To expand health coverage and reduce out-of-pocket payments a</w:t>
      </w:r>
      <w:r w:rsidR="00770F6C">
        <w:rPr>
          <w:sz w:val="24"/>
          <w:szCs w:val="24"/>
          <w:lang w:val="en-GB"/>
        </w:rPr>
        <w:t xml:space="preserve"> </w:t>
      </w:r>
      <w:r w:rsidR="00394FA9">
        <w:rPr>
          <w:sz w:val="24"/>
          <w:szCs w:val="24"/>
          <w:lang w:val="en-GB"/>
        </w:rPr>
        <w:t>health</w:t>
      </w:r>
      <w:r w:rsidR="00770F6C">
        <w:rPr>
          <w:sz w:val="24"/>
          <w:szCs w:val="24"/>
          <w:lang w:val="en-GB"/>
        </w:rPr>
        <w:t xml:space="preserve"> insurance coverage </w:t>
      </w:r>
      <w:r w:rsidR="006F7C24">
        <w:rPr>
          <w:sz w:val="24"/>
          <w:szCs w:val="24"/>
          <w:lang w:val="en-GB"/>
        </w:rPr>
        <w:t xml:space="preserve">is being implemented </w:t>
      </w:r>
      <w:r w:rsidR="00770F6C">
        <w:rPr>
          <w:sz w:val="24"/>
          <w:szCs w:val="24"/>
          <w:lang w:val="en-GB"/>
        </w:rPr>
        <w:t xml:space="preserve">by the National Hospital </w:t>
      </w:r>
      <w:r w:rsidR="00394FA9">
        <w:rPr>
          <w:sz w:val="24"/>
          <w:szCs w:val="24"/>
          <w:lang w:val="en-GB"/>
        </w:rPr>
        <w:t>Insurance</w:t>
      </w:r>
      <w:r w:rsidR="00770F6C">
        <w:rPr>
          <w:sz w:val="24"/>
          <w:szCs w:val="24"/>
          <w:lang w:val="en-GB"/>
        </w:rPr>
        <w:t xml:space="preserve"> Fund (NHIF)</w:t>
      </w:r>
      <w:r w:rsidR="009630B6">
        <w:rPr>
          <w:sz w:val="24"/>
          <w:szCs w:val="24"/>
          <w:lang w:val="en-GB"/>
        </w:rPr>
        <w:fldChar w:fldCharType="begin"/>
      </w:r>
      <w:r w:rsidR="009630B6">
        <w:rPr>
          <w:sz w:val="24"/>
          <w:szCs w:val="24"/>
          <w:lang w:val="en-GB"/>
        </w:rPr>
        <w:instrText xml:space="preserve"> ADDIN ZOTERO_ITEM CSL_CITATION {"citationID":"mtK3s6J8","properties":{"formattedCitation":"\\super 13\\nosupersub{}","plainCitation":"13","noteIndex":0},"citationItems":[{"id":7939,"uris":["http://zotero.org/users/3111854/items/XZH9KC7R"],"itemData":{"id":7939,"type":"article-journal","abstract":"Kenya has prioritized the attainment of universal health coverage (UHC) through the expansion of health insurance coverage by the National Hospital Insurance Fund (NHIF). In 2015, the NHIF introduced reforms in premium contribution rates, benefit packages, and provider payment methods. We examined the influence of these reforms on NHIF’s purchasing practices and their implications for strategic purchasing and health system goals of equity, efficiency and quality.","container-title":"International Journal for Equity in Health","DOI":"10.1186/s12939-019-1116-x","ISSN":"1475-9276","issue":"1","journalAbbreviation":"International Journal for Equity in Health","page":"19","source":"BioMed Central","title":"Examining purchasing reforms towards universal health coverage by the National Hospital Insurance Fund in Kenya","volume":"19","author":[{"family":"Mbau","given":"Rahab"},{"family":"Kabia","given":"Evelyn"},{"family":"Honda","given":"Ayako"},{"family":"Hanson","given":"Kara"},{"family":"Barasa","given":"Edwine"}],"issued":{"date-parts":[["2020",2,3]]}}}],"schema":"https://github.com/citation-style-language/schema/raw/master/csl-citation.json"} </w:instrText>
      </w:r>
      <w:r w:rsidR="009630B6">
        <w:rPr>
          <w:sz w:val="24"/>
          <w:szCs w:val="24"/>
          <w:lang w:val="en-GB"/>
        </w:rPr>
        <w:fldChar w:fldCharType="separate"/>
      </w:r>
      <w:r w:rsidR="009630B6" w:rsidRPr="009630B6">
        <w:rPr>
          <w:rFonts w:ascii="Calibri" w:hAnsi="Calibri" w:cs="Calibri"/>
          <w:sz w:val="24"/>
          <w:szCs w:val="24"/>
          <w:vertAlign w:val="superscript"/>
        </w:rPr>
        <w:t>13</w:t>
      </w:r>
      <w:r w:rsidR="009630B6">
        <w:rPr>
          <w:sz w:val="24"/>
          <w:szCs w:val="24"/>
          <w:lang w:val="en-GB"/>
        </w:rPr>
        <w:fldChar w:fldCharType="end"/>
      </w:r>
      <w:r w:rsidR="006F7C24">
        <w:rPr>
          <w:sz w:val="24"/>
          <w:szCs w:val="24"/>
          <w:lang w:val="en-GB"/>
        </w:rPr>
        <w:t xml:space="preserve">. </w:t>
      </w:r>
      <w:r w:rsidR="00202494">
        <w:rPr>
          <w:sz w:val="24"/>
          <w:szCs w:val="24"/>
          <w:lang w:val="en-GB"/>
        </w:rPr>
        <w:t>Despite the efforts, t</w:t>
      </w:r>
      <w:r w:rsidR="009630B6">
        <w:rPr>
          <w:sz w:val="24"/>
          <w:szCs w:val="24"/>
          <w:lang w:val="en-GB"/>
        </w:rPr>
        <w:t xml:space="preserve">he NHIF </w:t>
      </w:r>
      <w:r w:rsidR="00202494">
        <w:rPr>
          <w:sz w:val="24"/>
          <w:szCs w:val="24"/>
          <w:lang w:val="en-GB"/>
        </w:rPr>
        <w:t>covers</w:t>
      </w:r>
      <w:r w:rsidR="009630B6">
        <w:rPr>
          <w:sz w:val="24"/>
          <w:szCs w:val="24"/>
          <w:lang w:val="en-GB"/>
        </w:rPr>
        <w:t xml:space="preserve"> </w:t>
      </w:r>
      <w:r w:rsidR="007B2B3D">
        <w:rPr>
          <w:sz w:val="24"/>
          <w:szCs w:val="24"/>
          <w:lang w:val="en-GB"/>
        </w:rPr>
        <w:t>roughly 16</w:t>
      </w:r>
      <w:r w:rsidR="009630B6">
        <w:rPr>
          <w:sz w:val="24"/>
          <w:szCs w:val="24"/>
          <w:lang w:val="en-GB"/>
        </w:rPr>
        <w:t>%</w:t>
      </w:r>
      <w:r w:rsidR="00202494">
        <w:rPr>
          <w:sz w:val="24"/>
          <w:szCs w:val="24"/>
          <w:lang w:val="en-GB"/>
        </w:rPr>
        <w:t xml:space="preserve"> of the Kenyan population</w:t>
      </w:r>
      <w:r w:rsidR="00392B7F">
        <w:rPr>
          <w:sz w:val="24"/>
          <w:szCs w:val="24"/>
          <w:lang w:val="en-GB"/>
        </w:rPr>
        <w:fldChar w:fldCharType="begin"/>
      </w:r>
      <w:r w:rsidR="00392B7F">
        <w:rPr>
          <w:sz w:val="24"/>
          <w:szCs w:val="24"/>
          <w:lang w:val="en-GB"/>
        </w:rPr>
        <w:instrText xml:space="preserve"> ADDIN ZOTERO_ITEM CSL_CITATION {"citationID":"oVA6CQ6N","properties":{"formattedCitation":"\\super 14\\nosupersub{}","plainCitation":"14","noteIndex":0},"citationItems":[{"id":7946,"uris":["http://zotero.org/users/3111854/items/8SG3KVZV"],"itemData":{"id":7946,"type":"article-journal","abstract":"Objective\nTo examine the levels, inequalities and factors associated with health insurance coverage in Kenya.\n\nMethods\nWe analysed secondary data from the Kenya Demographic and Health Survey (KDHS) conducted in 2009 and 2014. We examined the level of health insurance coverage overall, and by type, using an asset index to categorise households into five socio‐economic quintiles with quintile 5 (Q5) being the richest and quintile 1 (Q1) being the poorest. The high–low ratio (Q5/Q1 ratio), concentration curve and concentration index (CIX) were employed to assess inequalities in health insurance coverage, and logistic regression to examine correlates of health insurance coverage.\n\nResults\nOverall health insurance coverage increased from 8.17% to 19.59% between 2009 and 2014. There was high inequality in overall health insurance coverage, even though this inequality decreased between 2009 (Q5/Q1 ratio of 31.21, CIX = 0.61, 95% CI 0.52–0.0.71) and 2014 (Q5/Q1 ratio 12.34, CIX = 0.49, 95% CI 0.45–0.52). Individuals that were older, employed in the formal sector; married, exposed to media; and male, belonged to a small household, had a chronic disease and belonged to rich households, had increased odds of health insurance coverage.\n\nConclusion\nHealth insurance coverage in Kenya remains low and is characterised by significant inequality. In a context where over 80% of the population is in the informal sector, and close to 50% live below the national poverty line, achieving high and equitable coverage levels with contributory and voluntary health insurance mechanism is problematic. Kenya should consider a universal, tax‐funded mechanism that ensures revenues are equitably and efficiently collected, and everyone (including the poor and those in the informal sector) is covered.","container-title":"Tropical Medicine &amp; International Health","DOI":"10.1111/tmi.12912","ISSN":"1360-2276","issue":"9","journalAbbreviation":"Trop Med Int Health","note":"PMID: 28627085\nPMCID: PMC5599961","page":"1175-1185","source":"PubMed Central","title":"Examining levels, distribution and correlates of health insurance coverage in Kenya","volume":"22","author":[{"family":"Kazungu","given":"Jacob S."},{"family":"Barasa","given":"Edwine W."}],"issued":{"date-parts":[["2017",9]]}}}],"schema":"https://github.com/citation-style-language/schema/raw/master/csl-citation.json"} </w:instrText>
      </w:r>
      <w:r w:rsidR="00392B7F">
        <w:rPr>
          <w:sz w:val="24"/>
          <w:szCs w:val="24"/>
          <w:lang w:val="en-GB"/>
        </w:rPr>
        <w:fldChar w:fldCharType="separate"/>
      </w:r>
      <w:r w:rsidR="00392B7F" w:rsidRPr="007B2B3D">
        <w:rPr>
          <w:rFonts w:ascii="Calibri" w:hAnsi="Calibri" w:cs="Calibri"/>
          <w:sz w:val="24"/>
          <w:szCs w:val="24"/>
          <w:vertAlign w:val="superscript"/>
        </w:rPr>
        <w:t>14</w:t>
      </w:r>
      <w:r w:rsidR="00392B7F">
        <w:rPr>
          <w:sz w:val="24"/>
          <w:szCs w:val="24"/>
          <w:lang w:val="en-GB"/>
        </w:rPr>
        <w:fldChar w:fldCharType="end"/>
      </w:r>
      <w:r w:rsidR="007B2B3D">
        <w:rPr>
          <w:sz w:val="24"/>
          <w:szCs w:val="24"/>
          <w:lang w:val="en-GB"/>
        </w:rPr>
        <w:t xml:space="preserve">, meaning that most of </w:t>
      </w:r>
      <w:r w:rsidR="003673B4">
        <w:rPr>
          <w:sz w:val="24"/>
          <w:szCs w:val="24"/>
          <w:lang w:val="en-GB"/>
        </w:rPr>
        <w:t>population</w:t>
      </w:r>
      <w:r w:rsidR="007B2B3D">
        <w:rPr>
          <w:sz w:val="24"/>
          <w:szCs w:val="24"/>
          <w:lang w:val="en-GB"/>
        </w:rPr>
        <w:t xml:space="preserve"> rely on ou-of-pocket payments to get access to healthcare</w:t>
      </w:r>
      <w:r w:rsidR="00392B7F">
        <w:rPr>
          <w:sz w:val="24"/>
          <w:szCs w:val="24"/>
          <w:lang w:val="en-GB"/>
        </w:rPr>
        <w:t xml:space="preserve"> and, therefore, they avoid going to hospital unless the</w:t>
      </w:r>
      <w:r w:rsidR="00202494">
        <w:rPr>
          <w:sz w:val="24"/>
          <w:szCs w:val="24"/>
          <w:lang w:val="en-GB"/>
        </w:rPr>
        <w:t>ir</w:t>
      </w:r>
      <w:r w:rsidR="00392B7F">
        <w:rPr>
          <w:sz w:val="24"/>
          <w:szCs w:val="24"/>
          <w:lang w:val="en-GB"/>
        </w:rPr>
        <w:t xml:space="preserve"> health </w:t>
      </w:r>
      <w:r w:rsidR="00202494">
        <w:rPr>
          <w:sz w:val="24"/>
          <w:szCs w:val="24"/>
          <w:lang w:val="en-GB"/>
        </w:rPr>
        <w:t xml:space="preserve">state </w:t>
      </w:r>
      <w:r w:rsidR="00392B7F">
        <w:rPr>
          <w:sz w:val="24"/>
          <w:szCs w:val="24"/>
          <w:lang w:val="en-GB"/>
        </w:rPr>
        <w:t>is critical</w:t>
      </w:r>
      <w:r w:rsidR="00392B7F">
        <w:rPr>
          <w:sz w:val="24"/>
          <w:szCs w:val="24"/>
          <w:lang w:val="en-GB"/>
        </w:rPr>
        <w:fldChar w:fldCharType="begin"/>
      </w:r>
      <w:r w:rsidR="00392B7F">
        <w:rPr>
          <w:sz w:val="24"/>
          <w:szCs w:val="24"/>
          <w:lang w:val="en-GB"/>
        </w:rPr>
        <w:instrText xml:space="preserve"> ADDIN ZOTERO_ITEM CSL_CITATION {"citationID":"NAISXjPa","properties":{"formattedCitation":"\\super 15,16\\nosupersub{}","plainCitation":"15,16","noteIndex":0},"citationItems":[{"id":7952,"uris":["http://zotero.org/users/3111854/items/GUW6MA39"],"itemData":{"id":7952,"type":"article-journal","abstract":"Background\nMany health systems in Africa are funded primarily through out-of-pocket payments. Out-of-pocket payments prevent people from seeking care, can result to catastrophic health spending and lead to impoverishment. This paper estimates the burden of out-of-pocket payments in Kenya; the incidence and intensity of catastrophic health care expenditure and the effect of health spending on national poverty estimates.\n\nMethods\nData were drawn from a nationally representative health expenditure and utilization survey (n = 8414) conducted in 2007. The survey provided detailed information on out-of-pocket payments and consumption expenditure. Standard data analytical techniques were applied to estimate the incidence and intensity of catastrophic health expenditure. Various thresholds were applied to demonstrate the sensitivity of catastrophic measures.\n\nResults\nEach year, Kenyan households spend over a tenth of their budget on health care payments. The burden of out-of-pocket payments is highest among the poor. The poorest households spent a third of their resources on health care payments each year compared to only 8% spent by the richest households. About 1.48 million Kenyans are pushed below the national poverty line due to health care payments.\n\nConclusions\nKenyans are becoming poorer due to health care payments. The need to protect individuals from health care related impoverishment calls for urgent reforms in the Kenyan health system. An important policy question remains what health system reforms are needed in Kenya to ensure that financial risk protection for all is achieved.","container-title":"BMC Health Services Research","DOI":"10.1186/1472-6963-12-413","ISSN":"1472-6963","journalAbbreviation":"BMC Health Serv Res","note":"PMID: 23170770\nPMCID: PMC3561146","page":"413","source":"PubMed Central","title":"Catastrophic health care spending and impoverishment in Kenya","volume":"12","author":[{"family":"Chuma","given":"Jane"},{"family":"Maina","given":"Thomas"}],"issued":{"date-parts":[["2012",11,21]]}}},{"id":7949,"uris":["http://zotero.org/users/3111854/items/S779WAJF"],"itemData":{"id":7949,"type":"article-journal","container-title":"Journal of Global Health","DOI":"10.7189/jogh.10.020362","ISSN":"2047-2978","issue":"2","journalAbbreviation":"J Glob Health","note":"PMID: 33110557\nPMCID: PMC7565744","page":"020362","source":"PubMed Central","title":"Health coverage and what Kenya can learn from the COVID-19 pandemic","volume":"10","author":[{"family":"Ouma","given":"Polet Njeri"},{"family":"Masai","given":"Abednego Nzyuko"},{"family":"Nyadera","given":"Israel Nyaburi"}]}}],"schema":"https://github.com/citation-style-language/schema/raw/master/csl-citation.json"} </w:instrText>
      </w:r>
      <w:r w:rsidR="00392B7F">
        <w:rPr>
          <w:sz w:val="24"/>
          <w:szCs w:val="24"/>
          <w:lang w:val="en-GB"/>
        </w:rPr>
        <w:fldChar w:fldCharType="separate"/>
      </w:r>
      <w:r w:rsidR="00392B7F" w:rsidRPr="00392B7F">
        <w:rPr>
          <w:rFonts w:ascii="Calibri" w:hAnsi="Calibri" w:cs="Calibri"/>
          <w:sz w:val="24"/>
          <w:szCs w:val="24"/>
          <w:vertAlign w:val="superscript"/>
        </w:rPr>
        <w:t>15,16</w:t>
      </w:r>
      <w:r w:rsidR="00392B7F">
        <w:rPr>
          <w:sz w:val="24"/>
          <w:szCs w:val="24"/>
          <w:lang w:val="en-GB"/>
        </w:rPr>
        <w:fldChar w:fldCharType="end"/>
      </w:r>
      <w:r w:rsidR="007B2B3D">
        <w:rPr>
          <w:sz w:val="24"/>
          <w:szCs w:val="24"/>
          <w:lang w:val="en-GB"/>
        </w:rPr>
        <w:t xml:space="preserve">. </w:t>
      </w:r>
      <w:r w:rsidR="00392B7F">
        <w:rPr>
          <w:sz w:val="24"/>
          <w:szCs w:val="24"/>
          <w:lang w:val="en-GB"/>
        </w:rPr>
        <w:t>Costs of COVID-19 testing has not been included in the NHIF</w:t>
      </w:r>
      <w:r w:rsidR="004D3A6E">
        <w:rPr>
          <w:sz w:val="24"/>
          <w:szCs w:val="24"/>
          <w:lang w:val="en-GB"/>
        </w:rPr>
        <w:t xml:space="preserve"> which may </w:t>
      </w:r>
      <w:r w:rsidR="003673B4">
        <w:rPr>
          <w:sz w:val="24"/>
          <w:szCs w:val="24"/>
          <w:lang w:val="en-GB"/>
        </w:rPr>
        <w:t xml:space="preserve">also </w:t>
      </w:r>
      <w:r w:rsidR="004D3A6E">
        <w:rPr>
          <w:sz w:val="24"/>
          <w:szCs w:val="24"/>
          <w:lang w:val="en-GB"/>
        </w:rPr>
        <w:t xml:space="preserve">lead to an underestimation of cases. </w:t>
      </w:r>
    </w:p>
    <w:p w14:paraId="67ED5618" w14:textId="3D0A932F" w:rsidR="00395AD3" w:rsidRPr="00860ADD" w:rsidRDefault="00395AD3" w:rsidP="00176555">
      <w:pPr>
        <w:pStyle w:val="ListParagraph"/>
        <w:numPr>
          <w:ilvl w:val="1"/>
          <w:numId w:val="2"/>
        </w:numPr>
        <w:rPr>
          <w:b/>
          <w:bCs/>
          <w:sz w:val="24"/>
          <w:szCs w:val="24"/>
          <w:lang w:val="en-GB"/>
        </w:rPr>
      </w:pPr>
      <w:r w:rsidRPr="00860ADD">
        <w:rPr>
          <w:b/>
          <w:bCs/>
          <w:sz w:val="24"/>
          <w:szCs w:val="24"/>
          <w:lang w:val="en-GB"/>
        </w:rPr>
        <w:t>Model structure</w:t>
      </w:r>
    </w:p>
    <w:p w14:paraId="537B40FD" w14:textId="12641EB2" w:rsidR="00362859" w:rsidRDefault="00176555" w:rsidP="00176555">
      <w:pPr>
        <w:ind w:left="0"/>
        <w:rPr>
          <w:rFonts w:ascii="Calibri" w:eastAsia="Calibri" w:hAnsi="Calibri" w:cs="Calibri"/>
          <w:sz w:val="24"/>
          <w:szCs w:val="24"/>
          <w:lang w:val="en-GB"/>
        </w:rPr>
      </w:pPr>
      <w:r w:rsidRPr="00176555">
        <w:rPr>
          <w:sz w:val="24"/>
          <w:szCs w:val="24"/>
          <w:lang w:val="en-GB"/>
        </w:rPr>
        <w:t xml:space="preserve">A Markov model was developed with 5 health states, a 12-week cycle, and a 10-year time horizon. </w:t>
      </w:r>
      <w:r w:rsidR="00D62607">
        <w:rPr>
          <w:sz w:val="24"/>
          <w:szCs w:val="24"/>
          <w:lang w:val="en-GB"/>
        </w:rPr>
        <w:t xml:space="preserve">This model was built on the published </w:t>
      </w:r>
      <w:r w:rsidR="00030E14">
        <w:rPr>
          <w:sz w:val="24"/>
          <w:szCs w:val="24"/>
          <w:lang w:val="en-GB"/>
        </w:rPr>
        <w:t>model</w:t>
      </w:r>
      <w:r w:rsidR="00D62607">
        <w:rPr>
          <w:sz w:val="24"/>
          <w:szCs w:val="24"/>
          <w:lang w:val="en-GB"/>
        </w:rPr>
        <w:t xml:space="preserve"> </w:t>
      </w:r>
      <w:r w:rsidR="00834427">
        <w:rPr>
          <w:sz w:val="24"/>
          <w:szCs w:val="24"/>
          <w:lang w:val="en-GB"/>
        </w:rPr>
        <w:t xml:space="preserve">developed by </w:t>
      </w:r>
      <w:r w:rsidR="00D62607">
        <w:rPr>
          <w:sz w:val="24"/>
          <w:szCs w:val="24"/>
          <w:lang w:val="en-GB"/>
        </w:rPr>
        <w:t>the European Burden of Disease Network</w:t>
      </w:r>
      <w:r w:rsidR="00834427">
        <w:rPr>
          <w:sz w:val="24"/>
          <w:szCs w:val="24"/>
          <w:lang w:val="en-GB"/>
        </w:rPr>
        <w:fldChar w:fldCharType="begin"/>
      </w:r>
      <w:r w:rsidR="00834427">
        <w:rPr>
          <w:sz w:val="24"/>
          <w:szCs w:val="24"/>
          <w:lang w:val="en-GB"/>
        </w:rPr>
        <w:instrText xml:space="preserve"> ADDIN ZOTERO_ITEM CSL_CITATION {"citationID":"DWc9DZWn","properties":{"formattedCitation":"\\super 17\\nosupersub{}","plainCitation":"17","noteIndex":0},"citationItems":[{"id":7861,"uris":["http://zotero.org/users/3111854/items/56ZR3Y4X"],"itemData":{"id":7861,"type":"webpage","abstract":"COST Action CA18218 - Integrating and strengthening capacity in burden of disease assessment across Europe and beyond","container-title":"European Burden of Disease Network","language":"en-gb","title":"Burden of disease of COVID-19. PROTOCOL FOR COUNTRY STUDIES COVID-19","URL":"https://www.burden-eu.com/index.php?option=com_content&amp;view=article&amp;id=33:covid-19&amp;catid=17","author":[{"family":"BurdenEU","given":""}],"accessed":{"date-parts":[["2022",6,15]]}}}],"schema":"https://github.com/citation-style-language/schema/raw/master/csl-citation.json"} </w:instrText>
      </w:r>
      <w:r w:rsidR="00834427">
        <w:rPr>
          <w:sz w:val="24"/>
          <w:szCs w:val="24"/>
          <w:lang w:val="en-GB"/>
        </w:rPr>
        <w:fldChar w:fldCharType="separate"/>
      </w:r>
      <w:r w:rsidR="00834427" w:rsidRPr="00834427">
        <w:rPr>
          <w:rFonts w:ascii="Calibri" w:hAnsi="Calibri" w:cs="Calibri"/>
          <w:sz w:val="24"/>
          <w:szCs w:val="24"/>
          <w:vertAlign w:val="superscript"/>
        </w:rPr>
        <w:t>17</w:t>
      </w:r>
      <w:r w:rsidR="00834427">
        <w:rPr>
          <w:sz w:val="24"/>
          <w:szCs w:val="24"/>
          <w:lang w:val="en-GB"/>
        </w:rPr>
        <w:fldChar w:fldCharType="end"/>
      </w:r>
      <w:r w:rsidR="00D62607">
        <w:rPr>
          <w:sz w:val="24"/>
          <w:szCs w:val="24"/>
          <w:lang w:val="en-GB"/>
        </w:rPr>
        <w:t xml:space="preserve"> and Angeles et al</w:t>
      </w:r>
      <w:r w:rsidR="00834427">
        <w:rPr>
          <w:sz w:val="24"/>
          <w:szCs w:val="24"/>
          <w:lang w:val="en-GB"/>
        </w:rPr>
        <w:t>.</w:t>
      </w:r>
      <w:r w:rsidR="00D62607">
        <w:rPr>
          <w:sz w:val="24"/>
          <w:szCs w:val="24"/>
          <w:lang w:val="en-GB"/>
        </w:rPr>
        <w:fldChar w:fldCharType="begin"/>
      </w:r>
      <w:r w:rsidR="00834427">
        <w:rPr>
          <w:sz w:val="24"/>
          <w:szCs w:val="24"/>
          <w:lang w:val="en-GB"/>
        </w:rPr>
        <w:instrText xml:space="preserve"> ADDIN ZOTERO_ITEM CSL_CITATION {"citationID":"nbxhDmLt","properties":{"formattedCitation":"\\super 18\\nosupersub{}","plainCitation":"18","noteIndex":0},"citationItems":[{"id":7811,"uris":["http://zotero.org/users/3111854/items/S9NR6UTD"],"itemData":{"id":7811,"type":"article-journal","abstract":"Background\nConcerns have grown that post-acute sequelae of COVID-19 may affect significant numbers of survivors. However, the analyses used to guide policy-making for Australia’s national and state re-opening plans have not incorporated non-acute illness in their modelling. We, therefore, develop a model by which to estimate the potential acute and post-acute COVID-19 burden using disability-adjusted life years (DALYs) associated with the re-opening of Australian borders and the easing of other public health measures, with particular attention to longer-term, post-acute consequences and the potential impact of permanent functional impairment following COVID-19.\n\nMethods\nA model was developed based on the European Burden of Disease Network protocol guideline and consensus model to estimate the burden of COVID-19 using DALYs. Data inputs were based on publicly available sources. COVID-19 infection and different scenarios were drawn from the Doherty Institute’s modelling report to estimate the likely DALY losses under the Australian national re-opening plan. Long COVID prevalence, post-intensive care syndrome (PICS) and potential permanent functional impairment incidences were drawn from the literature. DALYs were calculated for the following health states: the symptomatic phase, Long COVID, PICS and potential permanent functional impairment (e.g., diabetes, Parkinson’s disease, dementia, anxiety disorders, ischemic stroke). Uncertainty and sensitivity analysis were performed to examine the robustness of the results.\n\nResults\nMortality was responsible for 72-74% of the total base case COVID-19 burden. Long COVID and post-intensive care syndrome accounted for at least 19 and 3% of the total base case DALYs respectively. When included in the analysis, potential permanent impairment could contribute to 51-55% of total DALYs lost.\n\nConclusions\nThe impact of Long COVID and potential long-term post-COVID disabilities could contribute substantially to the COVID-19 burden in Australia’s post-vaccination setting. As vaccination coverage increases, the share of COVID-19 burden driven by longer-term morbidity rises relative to mortality. As Australia re-opens, better estimates of the COVID-19 burden can assist with decision-making on pandemic control measures and planning for the healthcare needs of COVID-19 survivors. Our estimates highlight the importance of valuing the morbidity of post-COVID-19 sequelae, above and beyond simple mortality and case statistics.\n\nSupplementary Information\nThe online version contains supplementary material available at 10.1186/s12889-022-13169-x.","container-title":"BMC Public Health","DOI":"10.1186/s12889-022-13169-x","ISSN":"1471-2458","journalAbbreviation":"BMC Public Health","note":"PMID: 35421963\nPMCID: PMC9009167","page":"757","source":"PubMed Central","title":"Modelling the potential acute and post-acute burden of COVID-19 under the Australian border re-opening plan","volume":"22","author":[{"family":"Angeles","given":"Mary Rose"},{"family":"Wanni Arachchige Dona","given":"Sithara"},{"family":"Nguyen","given":"Huong Dieu"},{"family":"Le","given":"Long Khanh-Dao"},{"family":"Hensher","given":"Martin"}],"issued":{"date-parts":[["2022",4,14]]}}}],"schema":"https://github.com/citation-style-language/schema/raw/master/csl-citation.json"} </w:instrText>
      </w:r>
      <w:r w:rsidR="00D62607">
        <w:rPr>
          <w:sz w:val="24"/>
          <w:szCs w:val="24"/>
          <w:lang w:val="en-GB"/>
        </w:rPr>
        <w:fldChar w:fldCharType="separate"/>
      </w:r>
      <w:r w:rsidR="00834427" w:rsidRPr="00834427">
        <w:rPr>
          <w:rFonts w:ascii="Calibri" w:hAnsi="Calibri" w:cs="Calibri"/>
          <w:sz w:val="24"/>
          <w:szCs w:val="24"/>
          <w:vertAlign w:val="superscript"/>
        </w:rPr>
        <w:t>18</w:t>
      </w:r>
      <w:r w:rsidR="00D62607">
        <w:rPr>
          <w:sz w:val="24"/>
          <w:szCs w:val="24"/>
          <w:lang w:val="en-GB"/>
        </w:rPr>
        <w:fldChar w:fldCharType="end"/>
      </w:r>
      <w:r w:rsidR="00D62607">
        <w:rPr>
          <w:sz w:val="24"/>
          <w:szCs w:val="24"/>
          <w:lang w:val="en-GB"/>
        </w:rPr>
        <w:t xml:space="preserve">. </w:t>
      </w:r>
      <w:r w:rsidRPr="00176555">
        <w:rPr>
          <w:rFonts w:ascii="Calibri" w:eastAsia="Calibri" w:hAnsi="Calibri" w:cs="Calibri"/>
          <w:sz w:val="24"/>
          <w:szCs w:val="24"/>
          <w:lang w:val="en-GB"/>
        </w:rPr>
        <w:t>The</w:t>
      </w:r>
      <w:r>
        <w:rPr>
          <w:rFonts w:ascii="Calibri" w:eastAsia="Calibri" w:hAnsi="Calibri" w:cs="Calibri"/>
          <w:sz w:val="24"/>
          <w:szCs w:val="24"/>
          <w:lang w:val="en-GB"/>
        </w:rPr>
        <w:t xml:space="preserve"> model </w:t>
      </w:r>
      <w:r w:rsidR="00362859">
        <w:rPr>
          <w:rFonts w:ascii="Calibri" w:eastAsia="Calibri" w:hAnsi="Calibri" w:cs="Calibri"/>
          <w:sz w:val="24"/>
          <w:szCs w:val="24"/>
          <w:lang w:val="en-GB"/>
        </w:rPr>
        <w:t xml:space="preserve">includes two components, namely the </w:t>
      </w:r>
      <w:r w:rsidR="00362859" w:rsidRPr="006739FE">
        <w:rPr>
          <w:rFonts w:ascii="Calibri" w:eastAsia="Calibri" w:hAnsi="Calibri" w:cs="Calibri"/>
          <w:i/>
          <w:iCs/>
          <w:sz w:val="24"/>
          <w:szCs w:val="24"/>
          <w:lang w:val="en-GB"/>
        </w:rPr>
        <w:t>acute</w:t>
      </w:r>
      <w:r w:rsidR="00362859">
        <w:rPr>
          <w:rFonts w:ascii="Calibri" w:eastAsia="Calibri" w:hAnsi="Calibri" w:cs="Calibri"/>
          <w:sz w:val="24"/>
          <w:szCs w:val="24"/>
          <w:lang w:val="en-GB"/>
        </w:rPr>
        <w:t xml:space="preserve"> and the </w:t>
      </w:r>
      <w:r w:rsidR="00362859" w:rsidRPr="006739FE">
        <w:rPr>
          <w:rFonts w:ascii="Calibri" w:eastAsia="Calibri" w:hAnsi="Calibri" w:cs="Calibri"/>
          <w:i/>
          <w:iCs/>
          <w:sz w:val="24"/>
          <w:szCs w:val="24"/>
          <w:lang w:val="en-GB"/>
        </w:rPr>
        <w:t>Long COVID</w:t>
      </w:r>
      <w:r w:rsidR="006739FE">
        <w:rPr>
          <w:rFonts w:ascii="Calibri" w:eastAsia="Calibri" w:hAnsi="Calibri" w:cs="Calibri"/>
          <w:i/>
          <w:iCs/>
          <w:sz w:val="24"/>
          <w:szCs w:val="24"/>
          <w:lang w:val="en-GB"/>
        </w:rPr>
        <w:t xml:space="preserve"> </w:t>
      </w:r>
      <w:r w:rsidR="006739FE" w:rsidRPr="006739FE">
        <w:rPr>
          <w:rFonts w:ascii="Calibri" w:eastAsia="Calibri" w:hAnsi="Calibri" w:cs="Calibri"/>
          <w:sz w:val="24"/>
          <w:szCs w:val="24"/>
          <w:lang w:val="en-GB"/>
        </w:rPr>
        <w:t>components</w:t>
      </w:r>
      <w:r w:rsidR="00362859">
        <w:rPr>
          <w:rFonts w:ascii="Calibri" w:eastAsia="Calibri" w:hAnsi="Calibri" w:cs="Calibri"/>
          <w:sz w:val="24"/>
          <w:szCs w:val="24"/>
          <w:lang w:val="en-GB"/>
        </w:rPr>
        <w:t xml:space="preserve"> (</w:t>
      </w:r>
      <w:r w:rsidR="00362859" w:rsidRPr="00362859">
        <w:rPr>
          <w:rFonts w:ascii="Calibri" w:eastAsia="Calibri" w:hAnsi="Calibri" w:cs="Calibri"/>
          <w:b/>
          <w:bCs/>
          <w:sz w:val="24"/>
          <w:szCs w:val="24"/>
          <w:lang w:val="en-GB"/>
        </w:rPr>
        <w:t>Figure 1</w:t>
      </w:r>
      <w:r w:rsidR="00362859">
        <w:rPr>
          <w:rFonts w:ascii="Calibri" w:eastAsia="Calibri" w:hAnsi="Calibri" w:cs="Calibri"/>
          <w:sz w:val="24"/>
          <w:szCs w:val="24"/>
          <w:lang w:val="en-GB"/>
        </w:rPr>
        <w:t xml:space="preserve">). </w:t>
      </w:r>
    </w:p>
    <w:p w14:paraId="4E9A4956" w14:textId="4066811B" w:rsidR="00D91835" w:rsidRDefault="006739FE" w:rsidP="00176555">
      <w:pPr>
        <w:ind w:left="0"/>
        <w:rPr>
          <w:rFonts w:ascii="Calibri" w:eastAsia="Calibri" w:hAnsi="Calibri" w:cs="Calibri"/>
          <w:sz w:val="24"/>
          <w:szCs w:val="24"/>
          <w:lang w:val="en-GB"/>
        </w:rPr>
      </w:pPr>
      <w:r>
        <w:rPr>
          <w:rFonts w:ascii="Calibri" w:eastAsia="Calibri" w:hAnsi="Calibri" w:cs="Calibri"/>
          <w:sz w:val="24"/>
          <w:szCs w:val="24"/>
          <w:lang w:val="en-GB"/>
        </w:rPr>
        <w:t xml:space="preserve">The </w:t>
      </w:r>
      <w:r w:rsidRPr="006739FE">
        <w:rPr>
          <w:rFonts w:ascii="Calibri" w:eastAsia="Calibri" w:hAnsi="Calibri" w:cs="Calibri"/>
          <w:i/>
          <w:iCs/>
          <w:sz w:val="24"/>
          <w:szCs w:val="24"/>
          <w:lang w:val="en-GB"/>
        </w:rPr>
        <w:t>acute component</w:t>
      </w:r>
      <w:r>
        <w:rPr>
          <w:rFonts w:ascii="Calibri" w:eastAsia="Calibri" w:hAnsi="Calibri" w:cs="Calibri"/>
          <w:sz w:val="24"/>
          <w:szCs w:val="24"/>
          <w:lang w:val="en-GB"/>
        </w:rPr>
        <w:t xml:space="preserve"> represents the acute COVID-19 infection and starts </w:t>
      </w:r>
      <w:r w:rsidR="00176555" w:rsidRPr="00176555">
        <w:rPr>
          <w:rFonts w:ascii="Calibri" w:eastAsia="Calibri" w:hAnsi="Calibri" w:cs="Calibri"/>
          <w:sz w:val="24"/>
          <w:szCs w:val="24"/>
          <w:lang w:val="en-GB"/>
        </w:rPr>
        <w:t xml:space="preserve">with </w:t>
      </w:r>
      <w:r>
        <w:rPr>
          <w:rFonts w:ascii="Calibri" w:eastAsia="Calibri" w:hAnsi="Calibri" w:cs="Calibri"/>
          <w:sz w:val="24"/>
          <w:szCs w:val="24"/>
          <w:lang w:val="en-GB"/>
        </w:rPr>
        <w:t xml:space="preserve">the COVID-19 </w:t>
      </w:r>
      <w:r w:rsidR="00176555">
        <w:rPr>
          <w:rFonts w:ascii="Calibri" w:eastAsia="Calibri" w:hAnsi="Calibri" w:cs="Calibri"/>
          <w:sz w:val="24"/>
          <w:szCs w:val="24"/>
          <w:lang w:val="en-GB"/>
        </w:rPr>
        <w:t>diagnosis by the Polymerase Chain Reaction (CPR). Give</w:t>
      </w:r>
      <w:r w:rsidR="00D91835">
        <w:rPr>
          <w:rFonts w:ascii="Calibri" w:eastAsia="Calibri" w:hAnsi="Calibri" w:cs="Calibri"/>
          <w:sz w:val="24"/>
          <w:szCs w:val="24"/>
          <w:lang w:val="en-GB"/>
        </w:rPr>
        <w:t>n</w:t>
      </w:r>
      <w:r w:rsidR="00176555">
        <w:rPr>
          <w:rFonts w:ascii="Calibri" w:eastAsia="Calibri" w:hAnsi="Calibri" w:cs="Calibri"/>
          <w:sz w:val="24"/>
          <w:szCs w:val="24"/>
          <w:lang w:val="en-GB"/>
        </w:rPr>
        <w:t xml:space="preserve"> a positive </w:t>
      </w:r>
      <w:r>
        <w:rPr>
          <w:rFonts w:ascii="Calibri" w:eastAsia="Calibri" w:hAnsi="Calibri" w:cs="Calibri"/>
          <w:sz w:val="24"/>
          <w:szCs w:val="24"/>
          <w:lang w:val="en-GB"/>
        </w:rPr>
        <w:t>PCR</w:t>
      </w:r>
      <w:r w:rsidR="00D91835">
        <w:rPr>
          <w:rFonts w:ascii="Calibri" w:eastAsia="Calibri" w:hAnsi="Calibri" w:cs="Calibri"/>
          <w:sz w:val="24"/>
          <w:szCs w:val="24"/>
          <w:lang w:val="en-GB"/>
        </w:rPr>
        <w:t>,</w:t>
      </w:r>
      <w:r w:rsidR="00176555">
        <w:rPr>
          <w:rFonts w:ascii="Calibri" w:eastAsia="Calibri" w:hAnsi="Calibri" w:cs="Calibri"/>
          <w:sz w:val="24"/>
          <w:szCs w:val="24"/>
          <w:lang w:val="en-GB"/>
        </w:rPr>
        <w:t xml:space="preserve"> individuals may </w:t>
      </w:r>
      <w:r>
        <w:rPr>
          <w:rFonts w:ascii="Calibri" w:eastAsia="Calibri" w:hAnsi="Calibri" w:cs="Calibri"/>
          <w:sz w:val="24"/>
          <w:szCs w:val="24"/>
          <w:lang w:val="en-GB"/>
        </w:rPr>
        <w:t>be</w:t>
      </w:r>
      <w:r w:rsidR="00176555">
        <w:rPr>
          <w:rFonts w:ascii="Calibri" w:eastAsia="Calibri" w:hAnsi="Calibri" w:cs="Calibri"/>
          <w:sz w:val="24"/>
          <w:szCs w:val="24"/>
          <w:lang w:val="en-GB"/>
        </w:rPr>
        <w:t xml:space="preserve"> asymptomatic</w:t>
      </w:r>
      <w:r w:rsidR="00D91835">
        <w:rPr>
          <w:rFonts w:ascii="Calibri" w:eastAsia="Calibri" w:hAnsi="Calibri" w:cs="Calibri"/>
          <w:sz w:val="24"/>
          <w:szCs w:val="24"/>
          <w:lang w:val="en-GB"/>
        </w:rPr>
        <w:t xml:space="preserve"> or having </w:t>
      </w:r>
      <w:r w:rsidR="00176555" w:rsidRPr="00176555">
        <w:rPr>
          <w:rFonts w:ascii="Calibri" w:eastAsia="Calibri" w:hAnsi="Calibri" w:cs="Calibri"/>
          <w:sz w:val="24"/>
          <w:szCs w:val="24"/>
          <w:lang w:val="en-GB"/>
        </w:rPr>
        <w:t>mild</w:t>
      </w:r>
      <w:r w:rsidR="00D91835">
        <w:rPr>
          <w:rFonts w:ascii="Calibri" w:eastAsia="Calibri" w:hAnsi="Calibri" w:cs="Calibri"/>
          <w:sz w:val="24"/>
          <w:szCs w:val="24"/>
          <w:lang w:val="en-GB"/>
        </w:rPr>
        <w:t>/</w:t>
      </w:r>
      <w:r w:rsidR="00176555" w:rsidRPr="00176555">
        <w:rPr>
          <w:rFonts w:ascii="Calibri" w:eastAsia="Calibri" w:hAnsi="Calibri" w:cs="Calibri"/>
          <w:sz w:val="24"/>
          <w:szCs w:val="24"/>
          <w:lang w:val="en-GB"/>
        </w:rPr>
        <w:t>moderate</w:t>
      </w:r>
      <w:r w:rsidR="00D91835">
        <w:rPr>
          <w:rFonts w:ascii="Calibri" w:eastAsia="Calibri" w:hAnsi="Calibri" w:cs="Calibri"/>
          <w:sz w:val="24"/>
          <w:szCs w:val="24"/>
          <w:lang w:val="en-GB"/>
        </w:rPr>
        <w:t xml:space="preserve"> signs and symptoms that can evolve to</w:t>
      </w:r>
      <w:r w:rsidR="00176555" w:rsidRPr="00176555">
        <w:rPr>
          <w:rFonts w:ascii="Calibri" w:eastAsia="Calibri" w:hAnsi="Calibri" w:cs="Calibri"/>
          <w:sz w:val="24"/>
          <w:szCs w:val="24"/>
          <w:lang w:val="en-GB"/>
        </w:rPr>
        <w:t xml:space="preserve"> </w:t>
      </w:r>
      <w:r w:rsidR="00B1172C">
        <w:rPr>
          <w:rFonts w:ascii="Calibri" w:eastAsia="Calibri" w:hAnsi="Calibri" w:cs="Calibri"/>
          <w:sz w:val="24"/>
          <w:szCs w:val="24"/>
          <w:lang w:val="en-GB"/>
        </w:rPr>
        <w:t xml:space="preserve">a </w:t>
      </w:r>
      <w:r w:rsidR="00176555" w:rsidRPr="00176555">
        <w:rPr>
          <w:rFonts w:ascii="Calibri" w:eastAsia="Calibri" w:hAnsi="Calibri" w:cs="Calibri"/>
          <w:sz w:val="24"/>
          <w:szCs w:val="24"/>
          <w:lang w:val="en-GB"/>
        </w:rPr>
        <w:t>severe</w:t>
      </w:r>
      <w:r>
        <w:rPr>
          <w:rFonts w:ascii="Calibri" w:eastAsia="Calibri" w:hAnsi="Calibri" w:cs="Calibri"/>
          <w:sz w:val="24"/>
          <w:szCs w:val="24"/>
          <w:lang w:val="en-GB"/>
        </w:rPr>
        <w:t xml:space="preserve"> </w:t>
      </w:r>
      <w:r>
        <w:rPr>
          <w:rFonts w:ascii="Calibri" w:eastAsia="Calibri" w:hAnsi="Calibri" w:cs="Calibri"/>
          <w:sz w:val="24"/>
          <w:szCs w:val="24"/>
          <w:lang w:val="en-GB"/>
        </w:rPr>
        <w:lastRenderedPageBreak/>
        <w:t>sta</w:t>
      </w:r>
      <w:r w:rsidR="005C2959">
        <w:rPr>
          <w:rFonts w:ascii="Calibri" w:eastAsia="Calibri" w:hAnsi="Calibri" w:cs="Calibri"/>
          <w:sz w:val="24"/>
          <w:szCs w:val="24"/>
          <w:lang w:val="en-GB"/>
        </w:rPr>
        <w:t>t</w:t>
      </w:r>
      <w:r>
        <w:rPr>
          <w:rFonts w:ascii="Calibri" w:eastAsia="Calibri" w:hAnsi="Calibri" w:cs="Calibri"/>
          <w:sz w:val="24"/>
          <w:szCs w:val="24"/>
          <w:lang w:val="en-GB"/>
        </w:rPr>
        <w:t>e</w:t>
      </w:r>
      <w:r w:rsidR="00792707">
        <w:rPr>
          <w:rFonts w:ascii="Calibri" w:eastAsia="Calibri" w:hAnsi="Calibri" w:cs="Calibri"/>
          <w:sz w:val="24"/>
          <w:szCs w:val="24"/>
          <w:lang w:val="en-GB"/>
        </w:rPr>
        <w:t xml:space="preserve"> (i.e., hospitalization admission)</w:t>
      </w:r>
      <w:r>
        <w:rPr>
          <w:rFonts w:ascii="Calibri" w:eastAsia="Calibri" w:hAnsi="Calibri" w:cs="Calibri"/>
          <w:sz w:val="24"/>
          <w:szCs w:val="24"/>
          <w:lang w:val="en-GB"/>
        </w:rPr>
        <w:t>, and subsequently to</w:t>
      </w:r>
      <w:r w:rsidR="00D91835">
        <w:rPr>
          <w:rFonts w:ascii="Calibri" w:eastAsia="Calibri" w:hAnsi="Calibri" w:cs="Calibri"/>
          <w:sz w:val="24"/>
          <w:szCs w:val="24"/>
          <w:lang w:val="en-GB"/>
        </w:rPr>
        <w:t xml:space="preserve"> </w:t>
      </w:r>
      <w:r w:rsidR="00B1172C">
        <w:rPr>
          <w:rFonts w:ascii="Calibri" w:eastAsia="Calibri" w:hAnsi="Calibri" w:cs="Calibri"/>
          <w:sz w:val="24"/>
          <w:szCs w:val="24"/>
          <w:lang w:val="en-GB"/>
        </w:rPr>
        <w:t xml:space="preserve">a </w:t>
      </w:r>
      <w:r w:rsidR="00D91835">
        <w:rPr>
          <w:rFonts w:ascii="Calibri" w:eastAsia="Calibri" w:hAnsi="Calibri" w:cs="Calibri"/>
          <w:sz w:val="24"/>
          <w:szCs w:val="24"/>
          <w:lang w:val="en-GB"/>
        </w:rPr>
        <w:t>critical</w:t>
      </w:r>
      <w:r w:rsidR="00176555" w:rsidRPr="00176555">
        <w:rPr>
          <w:rFonts w:ascii="Calibri" w:eastAsia="Calibri" w:hAnsi="Calibri" w:cs="Calibri"/>
          <w:sz w:val="24"/>
          <w:szCs w:val="24"/>
          <w:lang w:val="en-GB"/>
        </w:rPr>
        <w:t xml:space="preserve"> </w:t>
      </w:r>
      <w:r w:rsidR="00B1172C">
        <w:rPr>
          <w:rFonts w:ascii="Calibri" w:eastAsia="Calibri" w:hAnsi="Calibri" w:cs="Calibri"/>
          <w:sz w:val="24"/>
          <w:szCs w:val="24"/>
          <w:lang w:val="en-GB"/>
        </w:rPr>
        <w:t>sta</w:t>
      </w:r>
      <w:r w:rsidR="005C2959">
        <w:rPr>
          <w:rFonts w:ascii="Calibri" w:eastAsia="Calibri" w:hAnsi="Calibri" w:cs="Calibri"/>
          <w:sz w:val="24"/>
          <w:szCs w:val="24"/>
          <w:lang w:val="en-GB"/>
        </w:rPr>
        <w:t>t</w:t>
      </w:r>
      <w:r w:rsidR="00B1172C">
        <w:rPr>
          <w:rFonts w:ascii="Calibri" w:eastAsia="Calibri" w:hAnsi="Calibri" w:cs="Calibri"/>
          <w:sz w:val="24"/>
          <w:szCs w:val="24"/>
          <w:lang w:val="en-GB"/>
        </w:rPr>
        <w:t>e</w:t>
      </w:r>
      <w:r w:rsidR="00792707">
        <w:rPr>
          <w:rFonts w:ascii="Calibri" w:eastAsia="Calibri" w:hAnsi="Calibri" w:cs="Calibri"/>
          <w:sz w:val="24"/>
          <w:szCs w:val="24"/>
          <w:lang w:val="en-GB"/>
        </w:rPr>
        <w:t xml:space="preserve"> (intensive care unit, ICU admission)</w:t>
      </w:r>
      <w:r w:rsidR="00176555" w:rsidRPr="00176555">
        <w:rPr>
          <w:rFonts w:ascii="Calibri" w:eastAsia="Calibri" w:hAnsi="Calibri" w:cs="Calibri"/>
          <w:sz w:val="24"/>
          <w:szCs w:val="24"/>
          <w:lang w:val="en-GB"/>
        </w:rPr>
        <w:t xml:space="preserve">. </w:t>
      </w:r>
      <w:r w:rsidR="005C2959">
        <w:rPr>
          <w:rFonts w:ascii="Calibri" w:eastAsia="Calibri" w:hAnsi="Calibri" w:cs="Calibri"/>
          <w:sz w:val="24"/>
          <w:szCs w:val="24"/>
          <w:lang w:val="en-GB"/>
        </w:rPr>
        <w:t xml:space="preserve">The </w:t>
      </w:r>
      <w:r w:rsidR="00B1172C">
        <w:rPr>
          <w:rFonts w:ascii="Calibri" w:eastAsia="Calibri" w:hAnsi="Calibri" w:cs="Calibri"/>
          <w:sz w:val="24"/>
          <w:szCs w:val="24"/>
          <w:lang w:val="en-GB"/>
        </w:rPr>
        <w:t xml:space="preserve">COVID-19 </w:t>
      </w:r>
      <w:r w:rsidR="00433633">
        <w:rPr>
          <w:rFonts w:ascii="Calibri" w:eastAsia="Calibri" w:hAnsi="Calibri" w:cs="Calibri"/>
          <w:sz w:val="24"/>
          <w:szCs w:val="24"/>
          <w:lang w:val="en-GB"/>
        </w:rPr>
        <w:t>health states</w:t>
      </w:r>
      <w:r w:rsidR="00B1172C">
        <w:rPr>
          <w:rFonts w:ascii="Calibri" w:eastAsia="Calibri" w:hAnsi="Calibri" w:cs="Calibri"/>
          <w:sz w:val="24"/>
          <w:szCs w:val="24"/>
          <w:lang w:val="en-GB"/>
        </w:rPr>
        <w:t xml:space="preserve"> </w:t>
      </w:r>
      <w:r w:rsidR="00433633">
        <w:rPr>
          <w:rFonts w:ascii="Calibri" w:eastAsia="Calibri" w:hAnsi="Calibri" w:cs="Calibri"/>
          <w:sz w:val="24"/>
          <w:szCs w:val="24"/>
          <w:lang w:val="en-GB"/>
        </w:rPr>
        <w:t xml:space="preserve">in the </w:t>
      </w:r>
      <w:r w:rsidR="00433633" w:rsidRPr="005C2959">
        <w:rPr>
          <w:rFonts w:ascii="Calibri" w:eastAsia="Calibri" w:hAnsi="Calibri" w:cs="Calibri"/>
          <w:i/>
          <w:iCs/>
          <w:sz w:val="24"/>
          <w:szCs w:val="24"/>
          <w:lang w:val="en-GB"/>
        </w:rPr>
        <w:t xml:space="preserve">acute </w:t>
      </w:r>
      <w:r w:rsidR="005C2959" w:rsidRPr="005C2959">
        <w:rPr>
          <w:rFonts w:ascii="Calibri" w:eastAsia="Calibri" w:hAnsi="Calibri" w:cs="Calibri"/>
          <w:i/>
          <w:iCs/>
          <w:sz w:val="24"/>
          <w:szCs w:val="24"/>
          <w:lang w:val="en-GB"/>
        </w:rPr>
        <w:t>component</w:t>
      </w:r>
      <w:r w:rsidR="00433633">
        <w:rPr>
          <w:rFonts w:ascii="Calibri" w:eastAsia="Calibri" w:hAnsi="Calibri" w:cs="Calibri"/>
          <w:sz w:val="24"/>
          <w:szCs w:val="24"/>
          <w:lang w:val="en-GB"/>
        </w:rPr>
        <w:t xml:space="preserve"> are</w:t>
      </w:r>
      <w:r w:rsidR="00B1172C">
        <w:rPr>
          <w:rFonts w:ascii="Calibri" w:eastAsia="Calibri" w:hAnsi="Calibri" w:cs="Calibri"/>
          <w:sz w:val="24"/>
          <w:szCs w:val="24"/>
          <w:lang w:val="en-GB"/>
        </w:rPr>
        <w:t xml:space="preserve"> represented as </w:t>
      </w:r>
      <w:r w:rsidR="00433633">
        <w:rPr>
          <w:rFonts w:ascii="Calibri" w:eastAsia="Calibri" w:hAnsi="Calibri" w:cs="Calibri"/>
          <w:sz w:val="24"/>
          <w:szCs w:val="24"/>
          <w:lang w:val="en-GB"/>
        </w:rPr>
        <w:t xml:space="preserve">tunnel states </w:t>
      </w:r>
      <w:r w:rsidR="005C2959">
        <w:rPr>
          <w:rFonts w:ascii="Calibri" w:eastAsia="Calibri" w:hAnsi="Calibri" w:cs="Calibri"/>
          <w:sz w:val="24"/>
          <w:szCs w:val="24"/>
          <w:lang w:val="en-GB"/>
        </w:rPr>
        <w:t>because</w:t>
      </w:r>
      <w:r w:rsidR="00433633">
        <w:rPr>
          <w:rFonts w:ascii="Calibri" w:eastAsia="Calibri" w:hAnsi="Calibri" w:cs="Calibri"/>
          <w:sz w:val="24"/>
          <w:szCs w:val="24"/>
          <w:lang w:val="en-GB"/>
        </w:rPr>
        <w:t xml:space="preserve"> individuals progress through them in a sequence that </w:t>
      </w:r>
      <w:r w:rsidR="00CF6D90">
        <w:rPr>
          <w:rFonts w:ascii="Calibri" w:eastAsia="Calibri" w:hAnsi="Calibri" w:cs="Calibri"/>
          <w:sz w:val="24"/>
          <w:szCs w:val="24"/>
          <w:lang w:val="en-GB"/>
        </w:rPr>
        <w:t>does not allow</w:t>
      </w:r>
      <w:r w:rsidR="00433633">
        <w:rPr>
          <w:rFonts w:ascii="Calibri" w:eastAsia="Calibri" w:hAnsi="Calibri" w:cs="Calibri"/>
          <w:sz w:val="24"/>
          <w:szCs w:val="24"/>
          <w:lang w:val="en-GB"/>
        </w:rPr>
        <w:t xml:space="preserve"> return</w:t>
      </w:r>
      <w:r w:rsidR="00CF6D90">
        <w:rPr>
          <w:rFonts w:ascii="Calibri" w:eastAsia="Calibri" w:hAnsi="Calibri" w:cs="Calibri"/>
          <w:sz w:val="24"/>
          <w:szCs w:val="24"/>
          <w:lang w:val="en-GB"/>
        </w:rPr>
        <w:t>ing</w:t>
      </w:r>
      <w:r w:rsidR="00433633">
        <w:rPr>
          <w:rFonts w:ascii="Calibri" w:eastAsia="Calibri" w:hAnsi="Calibri" w:cs="Calibri"/>
          <w:sz w:val="24"/>
          <w:szCs w:val="24"/>
          <w:lang w:val="en-GB"/>
        </w:rPr>
        <w:t xml:space="preserve"> to the previous state</w:t>
      </w:r>
      <w:r w:rsidR="00CF6D90">
        <w:rPr>
          <w:rFonts w:ascii="Calibri" w:eastAsia="Calibri" w:hAnsi="Calibri" w:cs="Calibri"/>
          <w:sz w:val="24"/>
          <w:szCs w:val="24"/>
          <w:lang w:val="en-GB"/>
        </w:rPr>
        <w:t xml:space="preserve"> (</w:t>
      </w:r>
      <w:r w:rsidR="00CF6D90" w:rsidRPr="00CF6D90">
        <w:rPr>
          <w:rFonts w:ascii="Calibri" w:eastAsia="Calibri" w:hAnsi="Calibri" w:cs="Calibri"/>
          <w:b/>
          <w:bCs/>
          <w:sz w:val="24"/>
          <w:szCs w:val="24"/>
          <w:lang w:val="en-GB"/>
        </w:rPr>
        <w:t>Figure 1</w:t>
      </w:r>
      <w:r w:rsidR="00CF6D90">
        <w:rPr>
          <w:rFonts w:ascii="Calibri" w:eastAsia="Calibri" w:hAnsi="Calibri" w:cs="Calibri"/>
          <w:sz w:val="24"/>
          <w:szCs w:val="24"/>
          <w:lang w:val="en-GB"/>
        </w:rPr>
        <w:t>)</w:t>
      </w:r>
      <w:r w:rsidR="00433633">
        <w:rPr>
          <w:rFonts w:ascii="Calibri" w:eastAsia="Calibri" w:hAnsi="Calibri" w:cs="Calibri"/>
          <w:sz w:val="24"/>
          <w:szCs w:val="24"/>
          <w:lang w:val="en-GB"/>
        </w:rPr>
        <w:t>.</w:t>
      </w:r>
      <w:r w:rsidR="005C2959">
        <w:rPr>
          <w:rFonts w:ascii="Calibri" w:eastAsia="Calibri" w:hAnsi="Calibri" w:cs="Calibri"/>
          <w:sz w:val="24"/>
          <w:szCs w:val="24"/>
          <w:lang w:val="en-GB"/>
        </w:rPr>
        <w:t xml:space="preserve"> Acute signs and symptoms of COVID-19 can last up to 4 weeks</w:t>
      </w:r>
      <w:r w:rsidR="005C2959">
        <w:rPr>
          <w:rFonts w:ascii="Calibri" w:eastAsia="Calibri" w:hAnsi="Calibri" w:cs="Calibri"/>
          <w:sz w:val="24"/>
          <w:szCs w:val="24"/>
          <w:lang w:val="en-GB"/>
        </w:rPr>
        <w:fldChar w:fldCharType="begin"/>
      </w:r>
      <w:r w:rsidR="005C2959">
        <w:rPr>
          <w:rFonts w:ascii="Calibri" w:eastAsia="Calibri" w:hAnsi="Calibri" w:cs="Calibri"/>
          <w:sz w:val="24"/>
          <w:szCs w:val="24"/>
          <w:lang w:val="en-GB"/>
        </w:rPr>
        <w:instrText xml:space="preserve"> ADDIN ZOTERO_ITEM CSL_CITATION {"citationID":"GHS0XBhw","properties":{"formattedCitation":"\\super 19,20\\nosupersub{}","plainCitation":"19,20","noteIndex":0},"citationItems":[{"id":7863,"uris":["http://zotero.org/users/3111854/items/VDAWMRB6"],"itemData":{"id":7863,"type":"report","title":"COVID-19 rapid guideline: managing the long-term effects of COVID-19","URL":"https://www.nice.org.uk/guidance/ng188/resources/covid19-rapid-guideline-managing-the-longterm-effects-of-covid19-pdf-51035515742","author":[{"family":"NICE","given":""}],"accessed":{"date-parts":[["2022",6,15]]},"issued":{"date-parts":[["2022",1,3]]}},"locator":"-19"},{"id":7858,"uris":["http://zotero.org/users/3111854/items/FAH2U2GM"],"itemData":{"id":7858,"type":"report","language":"en","page":"64","source":"Zotero","title":"GUIDELINES ON MANAGEMENT OF COVID-19 IN KENYA","issued":{"date-parts":[["2021"]]}}}],"schema":"https://github.com/citation-style-language/schema/raw/master/csl-citation.json"} </w:instrText>
      </w:r>
      <w:r w:rsidR="005C2959">
        <w:rPr>
          <w:rFonts w:ascii="Calibri" w:eastAsia="Calibri" w:hAnsi="Calibri" w:cs="Calibri"/>
          <w:sz w:val="24"/>
          <w:szCs w:val="24"/>
          <w:lang w:val="en-GB"/>
        </w:rPr>
        <w:fldChar w:fldCharType="separate"/>
      </w:r>
      <w:r w:rsidR="005C2959" w:rsidRPr="00834427">
        <w:rPr>
          <w:rFonts w:ascii="Calibri" w:hAnsi="Calibri" w:cs="Calibri"/>
          <w:sz w:val="24"/>
          <w:szCs w:val="24"/>
          <w:vertAlign w:val="superscript"/>
        </w:rPr>
        <w:t>19,20</w:t>
      </w:r>
      <w:r w:rsidR="005C2959">
        <w:rPr>
          <w:rFonts w:ascii="Calibri" w:eastAsia="Calibri" w:hAnsi="Calibri" w:cs="Calibri"/>
          <w:sz w:val="24"/>
          <w:szCs w:val="24"/>
          <w:lang w:val="en-GB"/>
        </w:rPr>
        <w:fldChar w:fldCharType="end"/>
      </w:r>
      <w:r w:rsidR="005C2959">
        <w:rPr>
          <w:rFonts w:ascii="Calibri" w:eastAsia="Calibri" w:hAnsi="Calibri" w:cs="Calibri"/>
          <w:sz w:val="24"/>
          <w:szCs w:val="24"/>
          <w:lang w:val="en-GB"/>
        </w:rPr>
        <w:t xml:space="preserve">. </w:t>
      </w:r>
    </w:p>
    <w:p w14:paraId="616B5840" w14:textId="4923A7A5" w:rsidR="00CF6D90" w:rsidRDefault="005C2959" w:rsidP="00F77316">
      <w:pPr>
        <w:ind w:left="0"/>
        <w:rPr>
          <w:rFonts w:ascii="Calibri" w:hAnsi="Calibri" w:cs="Calibri"/>
          <w:sz w:val="24"/>
          <w:szCs w:val="24"/>
          <w:lang w:val="en-GB"/>
        </w:rPr>
      </w:pPr>
      <w:r>
        <w:rPr>
          <w:rFonts w:ascii="Calibri" w:eastAsia="Calibri" w:hAnsi="Calibri" w:cs="Calibri"/>
          <w:sz w:val="24"/>
          <w:szCs w:val="24"/>
          <w:lang w:val="en-GB"/>
        </w:rPr>
        <w:t xml:space="preserve">In the </w:t>
      </w:r>
      <w:r w:rsidRPr="00030E14">
        <w:rPr>
          <w:rFonts w:ascii="Calibri" w:eastAsia="Calibri" w:hAnsi="Calibri" w:cs="Calibri"/>
          <w:i/>
          <w:iCs/>
          <w:sz w:val="24"/>
          <w:szCs w:val="24"/>
          <w:lang w:val="en-GB"/>
        </w:rPr>
        <w:t>Long COVID component</w:t>
      </w:r>
      <w:r>
        <w:rPr>
          <w:rFonts w:ascii="Calibri" w:eastAsia="Calibri" w:hAnsi="Calibri" w:cs="Calibri"/>
          <w:sz w:val="24"/>
          <w:szCs w:val="24"/>
          <w:lang w:val="en-GB"/>
        </w:rPr>
        <w:t>, i</w:t>
      </w:r>
      <w:r w:rsidR="00176555" w:rsidRPr="00CF6D90">
        <w:rPr>
          <w:rFonts w:ascii="Calibri" w:eastAsia="Calibri" w:hAnsi="Calibri" w:cs="Calibri"/>
          <w:sz w:val="24"/>
          <w:szCs w:val="24"/>
          <w:lang w:val="en-GB"/>
        </w:rPr>
        <w:t xml:space="preserve">ndividuals with </w:t>
      </w:r>
      <w:r w:rsidR="00CF6D90" w:rsidRPr="00CF6D90">
        <w:rPr>
          <w:rFonts w:ascii="Calibri" w:eastAsia="Calibri" w:hAnsi="Calibri" w:cs="Calibri"/>
          <w:sz w:val="24"/>
          <w:szCs w:val="24"/>
          <w:lang w:val="en-GB"/>
        </w:rPr>
        <w:t xml:space="preserve">asymptomatic </w:t>
      </w:r>
      <w:r w:rsidR="00176555" w:rsidRPr="00CF6D90">
        <w:rPr>
          <w:rFonts w:ascii="Calibri" w:eastAsia="Calibri" w:hAnsi="Calibri" w:cs="Calibri"/>
          <w:sz w:val="24"/>
          <w:szCs w:val="24"/>
          <w:lang w:val="en-GB"/>
        </w:rPr>
        <w:t xml:space="preserve">COVID-19 </w:t>
      </w:r>
      <w:r w:rsidR="00CF6D90" w:rsidRPr="00CF6D90">
        <w:rPr>
          <w:rFonts w:ascii="Calibri" w:eastAsia="Calibri" w:hAnsi="Calibri" w:cs="Calibri"/>
          <w:sz w:val="24"/>
          <w:szCs w:val="24"/>
          <w:lang w:val="en-GB"/>
        </w:rPr>
        <w:t xml:space="preserve">infection or at any </w:t>
      </w:r>
      <w:r>
        <w:rPr>
          <w:rFonts w:ascii="Calibri" w:eastAsia="Calibri" w:hAnsi="Calibri" w:cs="Calibri"/>
          <w:sz w:val="24"/>
          <w:szCs w:val="24"/>
          <w:lang w:val="en-GB"/>
        </w:rPr>
        <w:t xml:space="preserve">acute COVID-19 health </w:t>
      </w:r>
      <w:r w:rsidR="00CF6D90" w:rsidRPr="00CF6D90">
        <w:rPr>
          <w:rFonts w:ascii="Calibri" w:eastAsia="Calibri" w:hAnsi="Calibri" w:cs="Calibri"/>
          <w:sz w:val="24"/>
          <w:szCs w:val="24"/>
          <w:lang w:val="en-GB"/>
        </w:rPr>
        <w:t>sta</w:t>
      </w:r>
      <w:r>
        <w:rPr>
          <w:rFonts w:ascii="Calibri" w:eastAsia="Calibri" w:hAnsi="Calibri" w:cs="Calibri"/>
          <w:sz w:val="24"/>
          <w:szCs w:val="24"/>
          <w:lang w:val="en-GB"/>
        </w:rPr>
        <w:t>t</w:t>
      </w:r>
      <w:r w:rsidR="00CF6D90" w:rsidRPr="00CF6D90">
        <w:rPr>
          <w:rFonts w:ascii="Calibri" w:eastAsia="Calibri" w:hAnsi="Calibri" w:cs="Calibri"/>
          <w:sz w:val="24"/>
          <w:szCs w:val="24"/>
          <w:lang w:val="en-GB"/>
        </w:rPr>
        <w:t xml:space="preserve">e </w:t>
      </w:r>
      <w:r w:rsidR="00176555" w:rsidRPr="00CF6D90">
        <w:rPr>
          <w:rFonts w:ascii="Calibri" w:eastAsia="Calibri" w:hAnsi="Calibri" w:cs="Calibri"/>
          <w:sz w:val="24"/>
          <w:szCs w:val="24"/>
          <w:lang w:val="en-GB"/>
        </w:rPr>
        <w:t xml:space="preserve">can either die or survive. If individuals survive, they can </w:t>
      </w:r>
      <w:r w:rsidR="00CF6D90" w:rsidRPr="00CF6D90">
        <w:rPr>
          <w:rFonts w:ascii="Calibri" w:eastAsia="Calibri" w:hAnsi="Calibri" w:cs="Calibri"/>
          <w:sz w:val="24"/>
          <w:szCs w:val="24"/>
          <w:lang w:val="en-GB"/>
        </w:rPr>
        <w:t xml:space="preserve">recover or </w:t>
      </w:r>
      <w:r w:rsidR="00176555" w:rsidRPr="00CF6D90">
        <w:rPr>
          <w:rFonts w:ascii="Calibri" w:eastAsia="Calibri" w:hAnsi="Calibri" w:cs="Calibri"/>
          <w:sz w:val="24"/>
          <w:szCs w:val="24"/>
          <w:lang w:val="en-GB"/>
        </w:rPr>
        <w:t>evolve to mild</w:t>
      </w:r>
      <w:r w:rsidR="00362859">
        <w:rPr>
          <w:rFonts w:ascii="Calibri" w:eastAsia="Calibri" w:hAnsi="Calibri" w:cs="Calibri"/>
          <w:sz w:val="24"/>
          <w:szCs w:val="24"/>
          <w:lang w:val="en-GB"/>
        </w:rPr>
        <w:t xml:space="preserve">, </w:t>
      </w:r>
      <w:r w:rsidR="00176555" w:rsidRPr="00CF6D90">
        <w:rPr>
          <w:rFonts w:ascii="Calibri" w:eastAsia="Calibri" w:hAnsi="Calibri" w:cs="Calibri"/>
          <w:sz w:val="24"/>
          <w:szCs w:val="24"/>
          <w:lang w:val="en-GB"/>
        </w:rPr>
        <w:t xml:space="preserve">moderate, </w:t>
      </w:r>
      <w:r w:rsidR="00CF6D90" w:rsidRPr="00CF6D90">
        <w:rPr>
          <w:rFonts w:ascii="Calibri" w:eastAsia="Calibri" w:hAnsi="Calibri" w:cs="Calibri"/>
          <w:sz w:val="24"/>
          <w:szCs w:val="24"/>
          <w:lang w:val="en-GB"/>
        </w:rPr>
        <w:t>or</w:t>
      </w:r>
      <w:r w:rsidR="00176555" w:rsidRPr="00CF6D90">
        <w:rPr>
          <w:rFonts w:ascii="Calibri" w:eastAsia="Calibri" w:hAnsi="Calibri" w:cs="Calibri"/>
          <w:sz w:val="24"/>
          <w:szCs w:val="24"/>
          <w:lang w:val="en-GB"/>
        </w:rPr>
        <w:t xml:space="preserve"> severe Long COVID. </w:t>
      </w:r>
      <w:r w:rsidR="00CF6D90" w:rsidRPr="00CF6D90">
        <w:rPr>
          <w:rFonts w:ascii="Calibri" w:eastAsia="Calibri" w:hAnsi="Calibri" w:cs="Calibri"/>
          <w:sz w:val="24"/>
          <w:szCs w:val="24"/>
          <w:lang w:val="en-GB"/>
        </w:rPr>
        <w:t>Lo</w:t>
      </w:r>
      <w:r w:rsidR="00A607E2">
        <w:rPr>
          <w:rFonts w:ascii="Calibri" w:eastAsia="Calibri" w:hAnsi="Calibri" w:cs="Calibri"/>
          <w:sz w:val="24"/>
          <w:szCs w:val="24"/>
          <w:lang w:val="en-GB"/>
        </w:rPr>
        <w:t>n</w:t>
      </w:r>
      <w:r w:rsidR="00CF6D90" w:rsidRPr="00CF6D90">
        <w:rPr>
          <w:rFonts w:ascii="Calibri" w:eastAsia="Calibri" w:hAnsi="Calibri" w:cs="Calibri"/>
          <w:sz w:val="24"/>
          <w:szCs w:val="24"/>
          <w:lang w:val="en-GB"/>
        </w:rPr>
        <w:t xml:space="preserve">g COVID is defined </w:t>
      </w:r>
      <w:r w:rsidR="00CF6D90">
        <w:rPr>
          <w:rFonts w:ascii="Calibri" w:eastAsia="Calibri" w:hAnsi="Calibri" w:cs="Calibri"/>
          <w:sz w:val="24"/>
          <w:szCs w:val="24"/>
          <w:lang w:val="en-GB"/>
        </w:rPr>
        <w:t>as s</w:t>
      </w:r>
      <w:r w:rsidR="00CF6D90" w:rsidRPr="00CF6D90">
        <w:rPr>
          <w:rFonts w:ascii="Calibri" w:hAnsi="Calibri" w:cs="Calibri"/>
          <w:sz w:val="24"/>
          <w:szCs w:val="24"/>
          <w:lang w:val="en-GB"/>
        </w:rPr>
        <w:t>igns</w:t>
      </w:r>
      <w:r w:rsidR="00CF6D90" w:rsidRPr="00CF6D90">
        <w:rPr>
          <w:rFonts w:ascii="Calibri" w:hAnsi="Calibri" w:cs="Calibri"/>
          <w:sz w:val="24"/>
          <w:szCs w:val="24"/>
        </w:rPr>
        <w:t xml:space="preserve"> and symptoms that continue or develop after acute COVID</w:t>
      </w:r>
      <w:r w:rsidR="00CF6D90" w:rsidRPr="00CF6D90">
        <w:rPr>
          <w:rFonts w:ascii="Calibri" w:hAnsi="Calibri" w:cs="Calibri"/>
          <w:sz w:val="24"/>
          <w:szCs w:val="24"/>
        </w:rPr>
        <w:noBreakHyphen/>
        <w:t>19</w:t>
      </w:r>
      <w:r w:rsidR="00053466">
        <w:rPr>
          <w:rFonts w:ascii="Calibri" w:hAnsi="Calibri" w:cs="Calibri"/>
          <w:sz w:val="24"/>
          <w:szCs w:val="24"/>
          <w:lang w:val="en-GB"/>
        </w:rPr>
        <w:t xml:space="preserve"> </w:t>
      </w:r>
      <w:r w:rsidR="00A607E2">
        <w:rPr>
          <w:rFonts w:ascii="Calibri" w:hAnsi="Calibri" w:cs="Calibri"/>
          <w:sz w:val="24"/>
          <w:szCs w:val="24"/>
          <w:lang w:val="en-GB"/>
        </w:rPr>
        <w:t xml:space="preserve">infection </w:t>
      </w:r>
      <w:r w:rsidR="00053466">
        <w:rPr>
          <w:rFonts w:ascii="Calibri" w:hAnsi="Calibri" w:cs="Calibri"/>
          <w:sz w:val="24"/>
          <w:szCs w:val="24"/>
          <w:lang w:val="en-GB"/>
        </w:rPr>
        <w:t>and are not explained by an alternative diagnosis</w:t>
      </w:r>
      <w:r w:rsidR="00053466">
        <w:rPr>
          <w:rFonts w:ascii="Calibri" w:eastAsia="Calibri" w:hAnsi="Calibri" w:cs="Calibri"/>
          <w:sz w:val="24"/>
          <w:szCs w:val="24"/>
          <w:lang w:val="en-GB"/>
        </w:rPr>
        <w:fldChar w:fldCharType="begin"/>
      </w:r>
      <w:r w:rsidR="00053466">
        <w:rPr>
          <w:rFonts w:ascii="Calibri" w:eastAsia="Calibri" w:hAnsi="Calibri" w:cs="Calibri"/>
          <w:sz w:val="24"/>
          <w:szCs w:val="24"/>
          <w:lang w:val="en-GB"/>
        </w:rPr>
        <w:instrText xml:space="preserve"> ADDIN ZOTERO_ITEM CSL_CITATION {"citationID":"ctZgpbFx","properties":{"formattedCitation":"\\super 19\\nosupersub{}","plainCitation":"19","noteIndex":0},"citationItems":[{"id":7863,"uris":["http://zotero.org/users/3111854/items/VDAWMRB6"],"itemData":{"id":7863,"type":"report","title":"COVID-19 rapid guideline: managing the long-term effects of COVID-19","URL":"https://www.nice.org.uk/guidance/ng188/resources/covid19-rapid-guideline-managing-the-longterm-effects-of-covid19-pdf-51035515742","author":[{"family":"NICE","given":""}],"accessed":{"date-parts":[["2022",6,15]]},"issued":{"date-parts":[["2022",1,3]]}},"locator":"-19"}],"schema":"https://github.com/citation-style-language/schema/raw/master/csl-citation.json"} </w:instrText>
      </w:r>
      <w:r w:rsidR="00053466">
        <w:rPr>
          <w:rFonts w:ascii="Calibri" w:eastAsia="Calibri" w:hAnsi="Calibri" w:cs="Calibri"/>
          <w:sz w:val="24"/>
          <w:szCs w:val="24"/>
          <w:lang w:val="en-GB"/>
        </w:rPr>
        <w:fldChar w:fldCharType="separate"/>
      </w:r>
      <w:r w:rsidR="00053466" w:rsidRPr="00834427">
        <w:rPr>
          <w:rFonts w:ascii="Calibri" w:hAnsi="Calibri" w:cs="Calibri"/>
          <w:sz w:val="24"/>
          <w:szCs w:val="24"/>
          <w:vertAlign w:val="superscript"/>
        </w:rPr>
        <w:t>19</w:t>
      </w:r>
      <w:r w:rsidR="00053466">
        <w:rPr>
          <w:rFonts w:ascii="Calibri" w:eastAsia="Calibri" w:hAnsi="Calibri" w:cs="Calibri"/>
          <w:sz w:val="24"/>
          <w:szCs w:val="24"/>
          <w:lang w:val="en-GB"/>
        </w:rPr>
        <w:fldChar w:fldCharType="end"/>
      </w:r>
      <w:r w:rsidR="00CF6D90" w:rsidRPr="00CF6D90">
        <w:rPr>
          <w:rFonts w:ascii="Calibri" w:hAnsi="Calibri" w:cs="Calibri"/>
          <w:sz w:val="24"/>
          <w:szCs w:val="24"/>
        </w:rPr>
        <w:t>. It includes both ongoing symptomatic COVID</w:t>
      </w:r>
      <w:r w:rsidR="00CF6D90" w:rsidRPr="00CF6D90">
        <w:rPr>
          <w:rFonts w:ascii="Calibri" w:hAnsi="Calibri" w:cs="Calibri"/>
          <w:sz w:val="24"/>
          <w:szCs w:val="24"/>
        </w:rPr>
        <w:noBreakHyphen/>
        <w:t>19 (from 4 to 12 weeks) and post</w:t>
      </w:r>
      <w:r w:rsidR="00CF6D90" w:rsidRPr="00CF6D90">
        <w:rPr>
          <w:rFonts w:ascii="Calibri" w:hAnsi="Calibri" w:cs="Calibri"/>
          <w:sz w:val="24"/>
          <w:szCs w:val="24"/>
        </w:rPr>
        <w:noBreakHyphen/>
        <w:t>COVID</w:t>
      </w:r>
      <w:r w:rsidR="00CF6D90" w:rsidRPr="00CF6D90">
        <w:rPr>
          <w:rFonts w:ascii="Calibri" w:hAnsi="Calibri" w:cs="Calibri"/>
          <w:sz w:val="24"/>
          <w:szCs w:val="24"/>
        </w:rPr>
        <w:noBreakHyphen/>
        <w:t>19 syndrome (12 weeks or more)</w:t>
      </w:r>
      <w:r w:rsidR="00CF6D90">
        <w:rPr>
          <w:rFonts w:ascii="Calibri" w:eastAsia="Calibri" w:hAnsi="Calibri" w:cs="Calibri"/>
          <w:sz w:val="24"/>
          <w:szCs w:val="24"/>
          <w:lang w:val="en-GB"/>
        </w:rPr>
        <w:fldChar w:fldCharType="begin"/>
      </w:r>
      <w:r w:rsidR="005C1131">
        <w:rPr>
          <w:rFonts w:ascii="Calibri" w:eastAsia="Calibri" w:hAnsi="Calibri" w:cs="Calibri"/>
          <w:sz w:val="24"/>
          <w:szCs w:val="24"/>
          <w:lang w:val="en-GB"/>
        </w:rPr>
        <w:instrText xml:space="preserve"> ADDIN ZOTERO_ITEM CSL_CITATION {"citationID":"QH2zBeEa","properties":{"formattedCitation":"\\super 19\\nosupersub{}","plainCitation":"19","noteIndex":0},"citationItems":[{"id":7863,"uris":["http://zotero.org/users/3111854/items/VDAWMRB6"],"itemData":{"id":7863,"type":"report","title":"COVID-19 rapid guideline: managing the long-term effects of COVID-19","URL":"https://www.nice.org.uk/guidance/ng188/resources/covid19-rapid-guideline-managing-the-longterm-effects-of-covid19-pdf-51035515742","author":[{"family":"NICE","given":""}],"accessed":{"date-parts":[["2022",6,15]]},"issued":{"date-parts":[["2022",1,3]]}},"locator":"-19"}],"schema":"https://github.com/citation-style-language/schema/raw/master/csl-citation.json"} </w:instrText>
      </w:r>
      <w:r w:rsidR="00CF6D90">
        <w:rPr>
          <w:rFonts w:ascii="Calibri" w:eastAsia="Calibri" w:hAnsi="Calibri" w:cs="Calibri"/>
          <w:sz w:val="24"/>
          <w:szCs w:val="24"/>
          <w:lang w:val="en-GB"/>
        </w:rPr>
        <w:fldChar w:fldCharType="separate"/>
      </w:r>
      <w:r w:rsidR="00834427" w:rsidRPr="00834427">
        <w:rPr>
          <w:rFonts w:ascii="Calibri" w:hAnsi="Calibri" w:cs="Calibri"/>
          <w:sz w:val="24"/>
          <w:szCs w:val="24"/>
          <w:vertAlign w:val="superscript"/>
        </w:rPr>
        <w:t>19</w:t>
      </w:r>
      <w:r w:rsidR="00CF6D90">
        <w:rPr>
          <w:rFonts w:ascii="Calibri" w:eastAsia="Calibri" w:hAnsi="Calibri" w:cs="Calibri"/>
          <w:sz w:val="24"/>
          <w:szCs w:val="24"/>
          <w:lang w:val="en-GB"/>
        </w:rPr>
        <w:fldChar w:fldCharType="end"/>
      </w:r>
      <w:r w:rsidR="00CF6D90">
        <w:rPr>
          <w:rFonts w:ascii="Calibri" w:eastAsia="Calibri" w:hAnsi="Calibri" w:cs="Calibri"/>
          <w:sz w:val="24"/>
          <w:szCs w:val="24"/>
          <w:lang w:val="en-GB"/>
        </w:rPr>
        <w:t xml:space="preserve"> (</w:t>
      </w:r>
      <w:r w:rsidR="00CF6D90" w:rsidRPr="00CF6D90">
        <w:rPr>
          <w:rFonts w:ascii="Calibri" w:eastAsia="Calibri" w:hAnsi="Calibri" w:cs="Calibri"/>
          <w:b/>
          <w:bCs/>
          <w:sz w:val="24"/>
          <w:szCs w:val="24"/>
          <w:lang w:val="en-GB"/>
        </w:rPr>
        <w:t>Figure 1</w:t>
      </w:r>
      <w:r w:rsidR="00CF6D90">
        <w:rPr>
          <w:rFonts w:ascii="Calibri" w:eastAsia="Calibri" w:hAnsi="Calibri" w:cs="Calibri"/>
          <w:sz w:val="24"/>
          <w:szCs w:val="24"/>
          <w:lang w:val="en-GB"/>
        </w:rPr>
        <w:t>)</w:t>
      </w:r>
      <w:r w:rsidR="00CF6D90">
        <w:rPr>
          <w:rFonts w:ascii="Calibri" w:hAnsi="Calibri" w:cs="Calibri"/>
          <w:sz w:val="24"/>
          <w:szCs w:val="24"/>
          <w:lang w:val="en-GB"/>
        </w:rPr>
        <w:t>.</w:t>
      </w:r>
      <w:r w:rsidR="00834427">
        <w:rPr>
          <w:rFonts w:ascii="Calibri" w:hAnsi="Calibri" w:cs="Calibri"/>
          <w:sz w:val="24"/>
          <w:szCs w:val="24"/>
          <w:lang w:val="en-GB"/>
        </w:rPr>
        <w:t xml:space="preserve"> </w:t>
      </w:r>
      <w:r w:rsidR="00507AC7">
        <w:rPr>
          <w:rFonts w:ascii="Calibri" w:hAnsi="Calibri" w:cs="Calibri"/>
          <w:sz w:val="24"/>
          <w:szCs w:val="24"/>
          <w:lang w:val="en-GB"/>
        </w:rPr>
        <w:t xml:space="preserve">Categorization of </w:t>
      </w:r>
      <w:r w:rsidR="00834427">
        <w:rPr>
          <w:rFonts w:ascii="Calibri" w:hAnsi="Calibri" w:cs="Calibri"/>
          <w:sz w:val="24"/>
          <w:szCs w:val="24"/>
          <w:lang w:val="en-GB"/>
        </w:rPr>
        <w:t>Long-COVID</w:t>
      </w:r>
      <w:r w:rsidR="00507AC7">
        <w:rPr>
          <w:rFonts w:ascii="Calibri" w:hAnsi="Calibri" w:cs="Calibri"/>
          <w:sz w:val="24"/>
          <w:szCs w:val="24"/>
          <w:lang w:val="en-GB"/>
        </w:rPr>
        <w:t xml:space="preserve"> according to</w:t>
      </w:r>
      <w:r w:rsidR="00C71A9B">
        <w:rPr>
          <w:rFonts w:ascii="Calibri" w:hAnsi="Calibri" w:cs="Calibri"/>
          <w:sz w:val="24"/>
          <w:szCs w:val="24"/>
          <w:lang w:val="en-GB"/>
        </w:rPr>
        <w:t xml:space="preserve"> </w:t>
      </w:r>
      <w:r w:rsidR="00507AC7">
        <w:rPr>
          <w:rFonts w:ascii="Calibri" w:hAnsi="Calibri" w:cs="Calibri"/>
          <w:sz w:val="24"/>
          <w:szCs w:val="24"/>
          <w:lang w:val="en-GB"/>
        </w:rPr>
        <w:t>severity levels was based on the Dutch Long COVID cohort</w:t>
      </w:r>
      <w:r w:rsidR="005C1131">
        <w:rPr>
          <w:rFonts w:ascii="Calibri" w:hAnsi="Calibri" w:cs="Calibri"/>
          <w:sz w:val="24"/>
          <w:szCs w:val="24"/>
          <w:lang w:val="en-GB"/>
        </w:rPr>
        <w:fldChar w:fldCharType="begin"/>
      </w:r>
      <w:r w:rsidR="005C1131">
        <w:rPr>
          <w:rFonts w:ascii="Calibri" w:hAnsi="Calibri" w:cs="Calibri"/>
          <w:sz w:val="24"/>
          <w:szCs w:val="24"/>
          <w:lang w:val="en-GB"/>
        </w:rPr>
        <w:instrText xml:space="preserve"> ADDIN ZOTERO_ITEM CSL_CITATION {"citationID":"bXaxDVZp","properties":{"formattedCitation":"\\super 21,22\\nosupersub{}","plainCitation":"21,22","noteIndex":0},"citationItems":[{"id":7461,"uris":["http://zotero.org/users/3111854/items/WBSGDRBA"],"itemData":{"id":7461,"type":"report","abstract":"Background A substantial proportion of individuals infected with severe acute respiratory syndrome coronavirus-2 (SARS-CoV-2) report persisting symptoms weeks and months following acute infection. Estimates on prevalence vary due to differences in study designs, populations, heterogeneity of symptoms and the way symptoms are measured. Common symptoms include fatigue, cognitive impairment and dyspnea. However, knowledge regarding the nature and risk factors for developing persisting symptoms is still limited. Hence in this study we aim to determine the prevalence, severity, risk factors and impact on quality of life of persisting symptoms in the first year following acute SARS-CoV-2 infection.\nMethods The LongCOVID-study is both a prospective and retrospective cohort study with a one year follow up. Participants aged 5 years and above with self-reported positive or negative tests for SARS-CoV-2 will be included in the study. The primary outcome is the prevalence and severity of persistent symptoms in participants that tested positive for SARS-CoV-2 compared to controls. Symptom severity will be assessed for fatigue using the Checklist Individual Strength (CIS subscale fatigue severity), pain (Rand-36/SF-36 subscale bodily pain), dyspnea (Medical Research Council (mMRC)) and cognitive impairment using the Cognitive Failure Questionnaire (CFQ). Secondary outcomes include loss of health-related quality of life (HRQoL) and risk factors for persisting symptoms following infection with SARS-CoV-2.\nDiscussion A better understanding regarding the nature of persisting symptoms following SARS-CoV-2 infection will enable better diagnosis, management and will consequently minimize negative consequences on quality of life.\nBackground A substantial proportion of individuals infected with severe acute respiratory syndrome coronavirus-2 (SARS-CoV-2) report persisting symptoms weeks and months following acute infection. Estimates on prevalence vary due to differences in study designs, populations, heterogeneity of symptoms and the way symptoms are measured. Common symptoms include fatigue, cognitive impairment and dyspnea. However, knowledge regarding the nature and risk factors for developing persisting symptoms is still limited. Hence in this study we aim to determine the prevalence, severity, risk factors and impact on quality of life of persisting symptoms in the first year following acute SARS-CoV-2 infection.\nMethods The LongCOVID-study is both a prospective and retrospective cohort study with a one year follow up. Participants aged 5 years and above with self-reported positive or negative tests for SARS-CoV-2 will be included in the study. The primary outcome is the prevalence and severity of persistent symptoms in participants that tested positive for SARS-CoV-2 compared to controls. Symptom severity will be assessed for fatigue using the Checklist Individual Strength (CIS subscale fatigue severity), pain (Rand-36/SF-36 subscale bodily pain), dyspnea (Medical Research Council (mMRC)) and cognitive impairment using the Cognitive Failure Questionnaire (CFQ). Secondary outcomes include loss of health-related quality of life (HRQoL) and risk factors for persisting symptoms following infection with SARS-CoV-2.\nDiscussion A better understanding regarding the nature of persisting symptoms following SARS-CoV-2 infection will enable better diagnosis, management and will consequently minimize negative consequences on quality of life.","language":"en","note":"DOI: 10.1101/2022.01.10.22269009\ntype: article","page":"2022.01.10.22269009","publisher":"medRxiv","source":"medRxiv","title":"Prevalence and determinants of persistent symptoms after infection with SARS-CoV-2: Protocol for an observational cohort study (LongCOVID-study)","title-short":"Prevalence and determinants of persistent symptoms after infection with SARS-CoV-2","URL":"https://www.medrxiv.org/content/10.1101/2022.01.10.22269009v1","author":[{"family":"Mutubuki","given":"Elizabeth N."},{"family":"Maaden","given":"Tessa","dropping-particle":"van der"},{"family":"Leung","given":"Ka Yin"},{"family":"Wong","given":"Albert"},{"family":"Tulen","given":"Anna D."},{"family":"Bruijn","given":"Siméon","dropping-particle":"de"},{"family":"Haverman","given":"Lotte"},{"family":"Knoop","given":"Hans"},{"family":"Franz","given":"Eelco"},{"family":"Hoek","given":"Albert Jan","dropping-particle":"van"},{"family":"Wijngaard","given":"Cees C.","dropping-particle":"van den"}],"accessed":{"date-parts":[["2022",4,1]]},"issued":{"date-parts":[["2022",1,11]]}}},{"id":7956,"uris":["http://zotero.org/users/3111854/items/U8KFD55D"],"itemData":{"id":7956,"type":"article","abstract":"Background More information is needed on prevalence of long-term symptoms after SARS-CoV-2-infection. This prospective study assesses symptoms three months after SARS-CoV-2-infection compared to test-negative and population controls, and the effect of vaccination prior to infection.\nMethods Participants enrolled after a positive (cases) or negative (test-negative controls) SARS-CoV-2-test, or after invitation from the general population (population controls). After three months, participants indicated presence of 41 symptoms, and severity of four symptoms. Permutation tests were used to select symptoms significantly elevated in cases compared to controls and to compare symptoms between cases that were vaccinated or unvaccinated prior to infection.\nFindings Between May 19th and December 13th 2021 9166 cases, 1698 symptomatic but test-negative controls, and 3708 population controls enrolled. At three months, 13 symptoms, and severity of fatigue, cognitive impairment and dyspnoea, were significantly elevated between cases and controls. Of cases, 48.5% reported ≥1 significantly elevated symptom, compared to 29.8% of test-negative controls and 26.0% of population controls. Effect of vaccination could only be determined for cases &lt;65yrs, and was found to be significantly protective for loss of smell and taste but not for other symptoms.\nInterpretation Three months after SARS-CoV-2 infection, almost half of the cases still report symptoms, which is higher than the background prevalence and prevalence in test-negative controls. Vaccination prior to infection was protective against loss of smell and taste as assessed in cases aged &lt;65.\nBackground More information is needed on prevalence of long-term symptoms after SARS-CoV-2-infection. This prospective study assesses symptoms three months after SARS-CoV-2-infection compared to test-negative and population controls, and the effect of vaccination prior to infection.\nMethods Participants enrolled after a positive (cases) or negative (test-negative controls) SARS-CoV-2-test, or after invitation from the general population (population controls). After three months, participants indicated presence of 41 symptoms, and severity of four symptoms. Permutation tests were used to select symptoms significantly elevated in cases compared to controls and to compare symptoms between cases that were vaccinated or unvaccinated prior to infection.\nFindings Between May 19th and December 13th 2021 9166 cases, 1698 symptomatic but test-negative controls, and 3708 population controls enrolled. At three months, 13 symptoms, and severity of fatigue, cognitive impairment and dyspnoea, were significantly elevated between cases and controls. Of cases, 48.5% reported ≥1 significantly elevated symptom, compared to 29.8% of test-negative controls and 26.0% of population controls. Effect of vaccination could only be determined for cases &lt;65yrs, and was found to be significantly protective for loss of smell and taste but not for other symptoms.\nInterpretation Three months after SARS-CoV-2 infection, almost half of the cases still report symptoms, which is higher than the background prevalence and prevalence in test-negative controls. Vaccination prior to infection was protective against loss of smell and taste as assessed in cases aged &lt;65.","DOI":"10.1101/2022.06.15.22276439","language":"en","note":"page: 2022.06.15.22276439","publisher":"medRxiv","source":"medRxiv","title":"Prevalence and severity of symptoms 3 months after infection with SARS-CoV-2 compared to test-negative and population controls in the Netherlands","URL":"https://www.medrxiv.org/content/10.1101/2022.06.15.22276439v1","author":[{"family":"Maaden","given":"Tessa","dropping-particle":"van der"},{"family":"Mutubuki","given":"Elizabeth N."},{"family":"Bruijn","given":"Siméon","dropping-particle":"de"},{"family":"Leung","given":"Ka Yin"},{"family":"Knoop","given":"Hans"},{"family":"Slootweg","given":"Jaap"},{"family":"Tulen","given":"Anna D."},{"family":"Wong","given":"Albert"},{"family":"Hoek","given":"Albert Jan","dropping-particle":"van"},{"family":"Franz","given":"Eelco"},{"family":"Wijngaard","given":"Cees C. Van","dropping-particle":"den"}],"accessed":{"date-parts":[["2022",7,5]]},"issued":{"date-parts":[["2022",6,16]]}}}],"schema":"https://github.com/citation-style-language/schema/raw/master/csl-citation.json"} </w:instrText>
      </w:r>
      <w:r w:rsidR="005C1131">
        <w:rPr>
          <w:rFonts w:ascii="Calibri" w:hAnsi="Calibri" w:cs="Calibri"/>
          <w:sz w:val="24"/>
          <w:szCs w:val="24"/>
          <w:lang w:val="en-GB"/>
        </w:rPr>
        <w:fldChar w:fldCharType="separate"/>
      </w:r>
      <w:r w:rsidR="005C1131" w:rsidRPr="005C1131">
        <w:rPr>
          <w:rFonts w:ascii="Calibri" w:hAnsi="Calibri" w:cs="Calibri"/>
          <w:sz w:val="24"/>
          <w:szCs w:val="24"/>
          <w:vertAlign w:val="superscript"/>
        </w:rPr>
        <w:t>21,22</w:t>
      </w:r>
      <w:r w:rsidR="005C1131">
        <w:rPr>
          <w:rFonts w:ascii="Calibri" w:hAnsi="Calibri" w:cs="Calibri"/>
          <w:sz w:val="24"/>
          <w:szCs w:val="24"/>
          <w:lang w:val="en-GB"/>
        </w:rPr>
        <w:fldChar w:fldCharType="end"/>
      </w:r>
      <w:r w:rsidR="00507AC7">
        <w:rPr>
          <w:rFonts w:ascii="Calibri" w:hAnsi="Calibri" w:cs="Calibri"/>
          <w:sz w:val="24"/>
          <w:szCs w:val="24"/>
          <w:lang w:val="en-GB"/>
        </w:rPr>
        <w:t xml:space="preserve"> which is detailed explained in another </w:t>
      </w:r>
      <w:proofErr w:type="spellStart"/>
      <w:r w:rsidR="00507AC7">
        <w:rPr>
          <w:rFonts w:ascii="Calibri" w:hAnsi="Calibri" w:cs="Calibri"/>
          <w:sz w:val="24"/>
          <w:szCs w:val="24"/>
          <w:lang w:val="en-GB"/>
        </w:rPr>
        <w:t>publication</w:t>
      </w:r>
      <w:commentRangeStart w:id="0"/>
      <w:r w:rsidR="00507AC7" w:rsidRPr="00507AC7">
        <w:rPr>
          <w:rFonts w:ascii="Calibri" w:hAnsi="Calibri" w:cs="Calibri"/>
          <w:sz w:val="24"/>
          <w:szCs w:val="24"/>
          <w:vertAlign w:val="superscript"/>
          <w:lang w:val="en-GB"/>
        </w:rPr>
        <w:t>ref</w:t>
      </w:r>
      <w:commentRangeEnd w:id="0"/>
      <w:proofErr w:type="spellEnd"/>
      <w:r w:rsidR="00030E14">
        <w:rPr>
          <w:rStyle w:val="CommentReference"/>
        </w:rPr>
        <w:commentReference w:id="0"/>
      </w:r>
      <w:r w:rsidR="00507AC7">
        <w:rPr>
          <w:rFonts w:ascii="Calibri" w:hAnsi="Calibri" w:cs="Calibri"/>
          <w:sz w:val="24"/>
          <w:szCs w:val="24"/>
          <w:lang w:val="en-GB"/>
        </w:rPr>
        <w:t xml:space="preserve">. Briefly, information on the </w:t>
      </w:r>
      <w:r w:rsidR="00CB0CE1">
        <w:rPr>
          <w:rFonts w:ascii="Calibri" w:hAnsi="Calibri" w:cs="Calibri"/>
          <w:sz w:val="24"/>
          <w:szCs w:val="24"/>
          <w:lang w:val="en-GB"/>
        </w:rPr>
        <w:t>presence an</w:t>
      </w:r>
      <w:r w:rsidR="005C1131">
        <w:rPr>
          <w:rFonts w:ascii="Calibri" w:hAnsi="Calibri" w:cs="Calibri"/>
          <w:sz w:val="24"/>
          <w:szCs w:val="24"/>
          <w:lang w:val="en-GB"/>
        </w:rPr>
        <w:t>d</w:t>
      </w:r>
      <w:r w:rsidR="00CB0CE1">
        <w:rPr>
          <w:rFonts w:ascii="Calibri" w:hAnsi="Calibri" w:cs="Calibri"/>
          <w:sz w:val="24"/>
          <w:szCs w:val="24"/>
          <w:lang w:val="en-GB"/>
        </w:rPr>
        <w:t xml:space="preserve"> severity of fatigue, pain, cognitive impairment, and dyspnoea</w:t>
      </w:r>
      <w:r w:rsidR="005C1131">
        <w:rPr>
          <w:rFonts w:ascii="Calibri" w:hAnsi="Calibri" w:cs="Calibri"/>
          <w:sz w:val="24"/>
          <w:szCs w:val="24"/>
          <w:lang w:val="en-GB"/>
        </w:rPr>
        <w:t xml:space="preserve">, age, sex, level of education, number of comorbidities, and healthcare utilization </w:t>
      </w:r>
      <w:r w:rsidR="00377526">
        <w:rPr>
          <w:rFonts w:ascii="Calibri" w:hAnsi="Calibri" w:cs="Calibri"/>
          <w:sz w:val="24"/>
          <w:szCs w:val="24"/>
          <w:lang w:val="en-GB"/>
        </w:rPr>
        <w:t xml:space="preserve">up to 12 weeks </w:t>
      </w:r>
      <w:r w:rsidR="005C1131">
        <w:rPr>
          <w:rFonts w:ascii="Calibri" w:hAnsi="Calibri" w:cs="Calibri"/>
          <w:sz w:val="24"/>
          <w:szCs w:val="24"/>
          <w:lang w:val="en-GB"/>
        </w:rPr>
        <w:t xml:space="preserve">were used to estimate a weighted </w:t>
      </w:r>
      <w:r w:rsidR="00A607E2">
        <w:rPr>
          <w:rFonts w:ascii="Calibri" w:hAnsi="Calibri" w:cs="Calibri"/>
          <w:sz w:val="24"/>
          <w:szCs w:val="24"/>
          <w:lang w:val="en-GB"/>
        </w:rPr>
        <w:t xml:space="preserve">Long COVID </w:t>
      </w:r>
      <w:r w:rsidR="005C1131">
        <w:rPr>
          <w:rFonts w:ascii="Calibri" w:hAnsi="Calibri" w:cs="Calibri"/>
          <w:sz w:val="24"/>
          <w:szCs w:val="24"/>
          <w:lang w:val="en-GB"/>
        </w:rPr>
        <w:t>severity score using a Principal Component Analysis.</w:t>
      </w:r>
      <w:r w:rsidR="00CB0CE1">
        <w:rPr>
          <w:rFonts w:ascii="Calibri" w:hAnsi="Calibri" w:cs="Calibri"/>
          <w:sz w:val="24"/>
          <w:szCs w:val="24"/>
          <w:lang w:val="en-GB"/>
        </w:rPr>
        <w:t xml:space="preserve"> </w:t>
      </w:r>
    </w:p>
    <w:p w14:paraId="3E00A30A" w14:textId="5E5A962E" w:rsidR="00176555" w:rsidRPr="00F77316" w:rsidRDefault="00F77316" w:rsidP="00792707">
      <w:pPr>
        <w:ind w:left="0"/>
        <w:rPr>
          <w:sz w:val="20"/>
          <w:szCs w:val="20"/>
          <w:lang w:val="en-GB"/>
        </w:rPr>
      </w:pPr>
      <w:r>
        <w:rPr>
          <w:rFonts w:ascii="Calibri" w:hAnsi="Calibri" w:cs="Calibri"/>
          <w:sz w:val="24"/>
          <w:szCs w:val="24"/>
          <w:lang w:val="en-GB"/>
        </w:rPr>
        <w:t xml:space="preserve">The model </w:t>
      </w:r>
      <w:r w:rsidR="008A67C6">
        <w:rPr>
          <w:rFonts w:ascii="Calibri" w:hAnsi="Calibri" w:cs="Calibri"/>
          <w:sz w:val="24"/>
          <w:szCs w:val="24"/>
          <w:lang w:val="en-GB"/>
        </w:rPr>
        <w:t>was</w:t>
      </w:r>
      <w:r>
        <w:rPr>
          <w:rFonts w:ascii="Calibri" w:hAnsi="Calibri" w:cs="Calibri"/>
          <w:sz w:val="24"/>
          <w:szCs w:val="24"/>
          <w:lang w:val="en-GB"/>
        </w:rPr>
        <w:t xml:space="preserve"> adjusted by </w:t>
      </w:r>
      <w:r w:rsidRPr="00F77316">
        <w:rPr>
          <w:rFonts w:ascii="Calibri" w:eastAsia="Calibri" w:hAnsi="Calibri" w:cs="Calibri"/>
          <w:sz w:val="24"/>
          <w:szCs w:val="24"/>
          <w:lang w:val="en-GB"/>
        </w:rPr>
        <w:t>vaccination coverage rate</w:t>
      </w:r>
      <w:r w:rsidR="00AA4AE5">
        <w:rPr>
          <w:rFonts w:ascii="Calibri" w:eastAsia="Calibri" w:hAnsi="Calibri" w:cs="Calibri"/>
          <w:sz w:val="24"/>
          <w:szCs w:val="24"/>
          <w:lang w:val="en-GB"/>
        </w:rPr>
        <w:fldChar w:fldCharType="begin"/>
      </w:r>
      <w:r w:rsidR="00AA4AE5">
        <w:rPr>
          <w:rFonts w:ascii="Calibri" w:eastAsia="Calibri" w:hAnsi="Calibri" w:cs="Calibri"/>
          <w:sz w:val="24"/>
          <w:szCs w:val="24"/>
          <w:lang w:val="en-GB"/>
        </w:rPr>
        <w:instrText xml:space="preserve"> ADDIN ZOTERO_ITEM CSL_CITATION {"citationID":"uCbnAlv1","properties":{"formattedCitation":"\\super 23\\nosupersub{}","plainCitation":"23","noteIndex":0},"citationItems":[{"id":7892,"uris":["http://zotero.org/users/3111854/items/LFTQ6CN2"],"itemData":{"id":7892,"type":"article-journal","abstract":"COVID-19 has impacted the health and livelihoods of billions of people since it emerged in 2019. Vaccination for COVID-19 is a critical intervention that is being rolled out globally to end the pandemic. Understanding the spatial inequalities in vaccination coverage and access to vaccination centres is important for planning this intervention nationally. Here, COVID-19 vaccination data, representing the number of people given at least one dose of vaccine, a list of the approved vaccination sites, population data and ancillary GIS data were used to assess vaccination coverage, using Kenya as an example. Firstly, physical access was modelled using travel time to estimate the proportion of population within 1 hour of a vaccination site. Secondly, a Bayesian conditional autoregressive (CAR) model was used to estimate the COVID-19 vaccination coverage and the same framework used to forecast coverage rates for the first quarter of 2022. Nationally, the average travel time to a designated COVID-19 vaccination site (n = 622) was 75.5 min (Range: 62.9 – 94.5 min) and over 87% of the population &gt;18 years reside within 1 hour to a vaccination site. The COVID-19 vaccination coverage in December 2021 was 16.70% (95% CI: 16.66 – 16.74) – 4.4 million people and was forecasted to be 30.75% (95% CI: 25.04 – 36.96) – 8.1 million people by the end of March 2022. Approximately 21 million adults were still unvaccinated in December 2021 and, in the absence of accelerated vaccine uptake, over 17.2 million adults may not be vaccinated by end March 2022 nationally. Our results highlight geographic inequalities at sub-national level and are important in targeting and improving vaccination coverage in hard-to-reach populations. Similar mapping efforts could help other countries identify and increase vaccination coverage for such populations.","container-title":"Vaccine","DOI":"10.1016/j.vaccine.2022.02.035","ISSN":"0264-410X","issue":"13","journalAbbreviation":"Vaccine","language":"en","page":"2011-2019","source":"ScienceDirect","title":"Unmet need for COVID-19 vaccination coverage in Kenya","volume":"40","author":[{"family":"Muchiri","given":"Samuel K."},{"family":"Muthee","given":"Rose"},{"family":"Kiarie","given":"Hellen"},{"family":"Sitienei","given":"Joseph"},{"family":"Agweyu","given":"Ambrose"},{"family":"Atkinson","given":"Peter M."},{"family":"Edson Utazi","given":"C."},{"family":"Tatem","given":"Andrew J."},{"family":"Alegana","given":"Victor A."}],"issued":{"date-parts":[["2022",3,18]]}}}],"schema":"https://github.com/citation-style-language/schema/raw/master/csl-citation.json"} </w:instrText>
      </w:r>
      <w:r w:rsidR="00AA4AE5">
        <w:rPr>
          <w:rFonts w:ascii="Calibri" w:eastAsia="Calibri" w:hAnsi="Calibri" w:cs="Calibri"/>
          <w:sz w:val="24"/>
          <w:szCs w:val="24"/>
          <w:lang w:val="en-GB"/>
        </w:rPr>
        <w:fldChar w:fldCharType="separate"/>
      </w:r>
      <w:r w:rsidR="00AA4AE5" w:rsidRPr="00AA4AE5">
        <w:rPr>
          <w:rFonts w:ascii="Calibri" w:hAnsi="Calibri" w:cs="Calibri"/>
          <w:sz w:val="24"/>
          <w:szCs w:val="24"/>
          <w:vertAlign w:val="superscript"/>
        </w:rPr>
        <w:t>23</w:t>
      </w:r>
      <w:r w:rsidR="00AA4AE5">
        <w:rPr>
          <w:rFonts w:ascii="Calibri" w:eastAsia="Calibri" w:hAnsi="Calibri" w:cs="Calibri"/>
          <w:sz w:val="24"/>
          <w:szCs w:val="24"/>
          <w:lang w:val="en-GB"/>
        </w:rPr>
        <w:fldChar w:fldCharType="end"/>
      </w:r>
      <w:r w:rsidRPr="00F77316">
        <w:rPr>
          <w:rFonts w:ascii="Calibri" w:eastAsia="Calibri" w:hAnsi="Calibri" w:cs="Calibri"/>
          <w:sz w:val="24"/>
          <w:szCs w:val="24"/>
          <w:lang w:val="en-GB"/>
        </w:rPr>
        <w:t>, primary care coverage rate</w:t>
      </w:r>
      <w:r w:rsidR="00AA4AE5">
        <w:rPr>
          <w:rFonts w:ascii="Calibri" w:eastAsia="Calibri" w:hAnsi="Calibri" w:cs="Calibri"/>
          <w:sz w:val="24"/>
          <w:szCs w:val="24"/>
          <w:lang w:val="en-GB"/>
        </w:rPr>
        <w:fldChar w:fldCharType="begin"/>
      </w:r>
      <w:r w:rsidR="00AA4AE5">
        <w:rPr>
          <w:rFonts w:ascii="Calibri" w:eastAsia="Calibri" w:hAnsi="Calibri" w:cs="Calibri"/>
          <w:sz w:val="24"/>
          <w:szCs w:val="24"/>
          <w:lang w:val="en-GB"/>
        </w:rPr>
        <w:instrText xml:space="preserve"> ADDIN ZOTERO_ITEM CSL_CITATION {"citationID":"34UqEjQW","properties":{"formattedCitation":"\\super 24\\nosupersub{}","plainCitation":"24","noteIndex":0},"citationItems":[{"id":7905,"uris":["http://zotero.org/users/3111854/items/VMVPBVIM"],"itemData":{"id":7905,"type":"article-journal","container-title":"JAMA Network Open","DOI":"10.1001/jamanetworkopen.2021.47920","ISSN":"2574-3805","issue":"2","journalAbbreviation":"JAMA Network Open","page":"e2147920","source":"Silverchair","title":"Association of Primary Care Physicians Per Capita With COVID-19 Vaccination Rates Among US Counties","volume":"5","author":[{"family":"Lo","given":"Chun-Han"},{"family":"Chiu","given":"Leonard"},{"family":"Qian","given":"Anna"},{"family":"Khan","given":"Muhammad Zarrar"},{"family":"Alhassan","given":"Hassan A."},{"family":"Duval","given":"Axel J."},{"family":"Chan","given":"Andrew T."}],"issued":{"date-parts":[["2022",2,10]]}}}],"schema":"https://github.com/citation-style-language/schema/raw/master/csl-citation.json"} </w:instrText>
      </w:r>
      <w:r w:rsidR="00AA4AE5">
        <w:rPr>
          <w:rFonts w:ascii="Calibri" w:eastAsia="Calibri" w:hAnsi="Calibri" w:cs="Calibri"/>
          <w:sz w:val="24"/>
          <w:szCs w:val="24"/>
          <w:lang w:val="en-GB"/>
        </w:rPr>
        <w:fldChar w:fldCharType="separate"/>
      </w:r>
      <w:r w:rsidR="00AA4AE5" w:rsidRPr="00AA4AE5">
        <w:rPr>
          <w:rFonts w:ascii="Calibri" w:hAnsi="Calibri" w:cs="Calibri"/>
          <w:sz w:val="24"/>
          <w:szCs w:val="24"/>
          <w:vertAlign w:val="superscript"/>
        </w:rPr>
        <w:t>24</w:t>
      </w:r>
      <w:r w:rsidR="00AA4AE5">
        <w:rPr>
          <w:rFonts w:ascii="Calibri" w:eastAsia="Calibri" w:hAnsi="Calibri" w:cs="Calibri"/>
          <w:sz w:val="24"/>
          <w:szCs w:val="24"/>
          <w:lang w:val="en-GB"/>
        </w:rPr>
        <w:fldChar w:fldCharType="end"/>
      </w:r>
      <w:r w:rsidRPr="00F77316">
        <w:rPr>
          <w:rFonts w:ascii="Calibri" w:eastAsia="Calibri" w:hAnsi="Calibri" w:cs="Calibri"/>
          <w:sz w:val="24"/>
          <w:szCs w:val="24"/>
          <w:lang w:val="en-GB"/>
        </w:rPr>
        <w:t>, and health conditions that are prevalent in Kenya (i.e., HIV</w:t>
      </w:r>
      <w:r w:rsidR="00AA4AE5">
        <w:rPr>
          <w:rFonts w:ascii="Calibri" w:eastAsia="Calibri" w:hAnsi="Calibri" w:cs="Calibri"/>
          <w:sz w:val="24"/>
          <w:szCs w:val="24"/>
          <w:lang w:val="en-GB"/>
        </w:rPr>
        <w:fldChar w:fldCharType="begin"/>
      </w:r>
      <w:r w:rsidR="00AA4AE5">
        <w:rPr>
          <w:rFonts w:ascii="Calibri" w:eastAsia="Calibri" w:hAnsi="Calibri" w:cs="Calibri"/>
          <w:sz w:val="24"/>
          <w:szCs w:val="24"/>
          <w:lang w:val="en-GB"/>
        </w:rPr>
        <w:instrText xml:space="preserve"> ADDIN ZOTERO_ITEM CSL_CITATION {"citationID":"j3i4WDEf","properties":{"formattedCitation":"\\super 25\\nosupersub{}","plainCitation":"25","noteIndex":0},"citationItems":[{"id":7899,"uris":["http://zotero.org/users/3111854/items/FGDG9DKW"],"itemData":{"id":7899,"type":"article-journal","abstract":"Data on the association of human immunodeficiency virus (HIV) infection with adverse outcomes in patients with COVID-19 are conflicting. This systematic review and meta-analysis aimed to summarize the available information on the risk of hospitalization, severe disease, and death attributable to HIV in patients with COVID-19.","container-title":"AIDS Research and Therapy","DOI":"10.1186/s12981-021-00427-y","ISSN":"1742-6405","issue":"1","journalAbbreviation":"AIDS Research and Therapy","page":"3","source":"BioMed Central","title":"Outcomes of patients with HIV and COVID-19 co-infection: a systematic review and meta-analysis","title-short":"Outcomes of patients with HIV and COVID-19 co-infection","volume":"19","author":[{"family":"Danwang","given":"Celestin"},{"family":"Noubiap","given":"Jean Jacques"},{"family":"Robert","given":"Annie"},{"family":"Yombi","given":"Jean Cyr"}],"issued":{"date-parts":[["2022",1,14]]}}}],"schema":"https://github.com/citation-style-language/schema/raw/master/csl-citation.json"} </w:instrText>
      </w:r>
      <w:r w:rsidR="00AA4AE5">
        <w:rPr>
          <w:rFonts w:ascii="Calibri" w:eastAsia="Calibri" w:hAnsi="Calibri" w:cs="Calibri"/>
          <w:sz w:val="24"/>
          <w:szCs w:val="24"/>
          <w:lang w:val="en-GB"/>
        </w:rPr>
        <w:fldChar w:fldCharType="separate"/>
      </w:r>
      <w:r w:rsidR="00AA4AE5" w:rsidRPr="00AA4AE5">
        <w:rPr>
          <w:rFonts w:ascii="Calibri" w:hAnsi="Calibri" w:cs="Calibri"/>
          <w:sz w:val="24"/>
          <w:szCs w:val="24"/>
          <w:vertAlign w:val="superscript"/>
        </w:rPr>
        <w:t>25</w:t>
      </w:r>
      <w:r w:rsidR="00AA4AE5">
        <w:rPr>
          <w:rFonts w:ascii="Calibri" w:eastAsia="Calibri" w:hAnsi="Calibri" w:cs="Calibri"/>
          <w:sz w:val="24"/>
          <w:szCs w:val="24"/>
          <w:lang w:val="en-GB"/>
        </w:rPr>
        <w:fldChar w:fldCharType="end"/>
      </w:r>
      <w:r w:rsidRPr="00F77316">
        <w:rPr>
          <w:rFonts w:ascii="Calibri" w:eastAsia="Calibri" w:hAnsi="Calibri" w:cs="Calibri"/>
          <w:sz w:val="24"/>
          <w:szCs w:val="24"/>
          <w:lang w:val="en-GB"/>
        </w:rPr>
        <w:t>, and obesity</w:t>
      </w:r>
      <w:r w:rsidR="00AA4AE5">
        <w:rPr>
          <w:rFonts w:ascii="Calibri" w:eastAsia="Calibri" w:hAnsi="Calibri" w:cs="Calibri"/>
          <w:sz w:val="24"/>
          <w:szCs w:val="24"/>
          <w:lang w:val="en-GB"/>
        </w:rPr>
        <w:fldChar w:fldCharType="begin"/>
      </w:r>
      <w:r w:rsidR="00AA4AE5">
        <w:rPr>
          <w:rFonts w:ascii="Calibri" w:eastAsia="Calibri" w:hAnsi="Calibri" w:cs="Calibri"/>
          <w:sz w:val="24"/>
          <w:szCs w:val="24"/>
          <w:lang w:val="en-GB"/>
        </w:rPr>
        <w:instrText xml:space="preserve"> ADDIN ZOTERO_ITEM CSL_CITATION {"citationID":"BKwuEp0X","properties":{"formattedCitation":"\\super 26\\nosupersub{}","plainCitation":"26","noteIndex":0},"citationItems":[{"id":7902,"uris":["http://zotero.org/users/3111854/items/ZB2JWJUD"],"itemData":{"id":7902,"type":"article-journal","abstract":"Objective To quantify the current weight of evidence of the association between overweight and obesity as risk factors for COVID-19-related hospitalisations (including hospital admission, intensive care unit admission, invasive mechanical ventilation) and death, and to assess the magnitude of the association and the potential dose–response relationships.\nDesign PubMed, Embase, Cochrane, Web of Sciences, WHO COVID-19 database and Google Scholar were used to identify articles published up to 20 July 2021. Peer-reviewed studies reporting adjusted estimates of the association between overweight or obesity and COVID-19 outcomes were included. Three authors reviewed the articles and agreed. The quality of eligible studies was assessed using the Newcastle-Ottawa Quality Assessment Scale. Random-effects meta-analysis was used to estimate the combined effects.\nResults A total of 208 studies with 3 550 997 participants from over 32 countries were included in this meta-analysis. Being overweight was associated with an increased risk of COVID-19-related hospitalisations (OR 1.19, 95% CI 1.12 to 1.28, n=21 studies), but not death (OR 1.02, 95% CI 0.92 to 1.13, n=21). However, patients with obesity were at increased risk of both COVID-19-related hospitalisations (OR 1.72, 95% CI 1.62 to 1.84, n=58) and death (OR 1.25, 95% CI 1.19 to 1.32, n=77). Similarly, patients with extreme obesity were at increased risk of COVID-19-related hospitalisations (OR 2.53, 95% CI 1.67 to 3.84, n=12) and death (OR 2.06, 95% CI 1.76 to 3.00, n=19). There was a linear dose–response relationship between these obesity categories and COVID-19 outcomes, but the strength of the association has decreased over time.\nConclusion Being overweight increases the risk of COVID-19-related hospitalisations but not death, while obesity and extreme obesity increase the risk of both COVID-19-related hospitalisations and death. These findings suggest that prompt access to COVID-19 care, prioritisation for COVID-19 vaccination and other preventive measures are warranted for this vulnerable group.","container-title":"BMJ Nutrition, Prevention &amp; Health","DOI":"10.1136/bmjnph-2021-000375","ISSN":"2516-5542","language":"en","note":"publisher: BMJ Specialist Journals\nsection: Original research","page":"e000375","source":"nutrition.bmj.com","title":"Overweight and obesity as risk factors for COVID-19-associated hospitalisations and death: systematic review and meta-analysis","title-short":"Overweight and obesity as risk factors for COVID-19-associated hospitalisations and death","author":[{"family":"Sawadogo","given":"Wendemi"},{"family":"Tsegaye","given":"Medhin"},{"family":"Gizaw","given":"Andinet"},{"family":"Adera","given":"Tilahun"}],"issued":{"date-parts":[["2022",1,18]]}}}],"schema":"https://github.com/citation-style-language/schema/raw/master/csl-citation.json"} </w:instrText>
      </w:r>
      <w:r w:rsidR="00AA4AE5">
        <w:rPr>
          <w:rFonts w:ascii="Calibri" w:eastAsia="Calibri" w:hAnsi="Calibri" w:cs="Calibri"/>
          <w:sz w:val="24"/>
          <w:szCs w:val="24"/>
          <w:lang w:val="en-GB"/>
        </w:rPr>
        <w:fldChar w:fldCharType="separate"/>
      </w:r>
      <w:r w:rsidR="00AA4AE5" w:rsidRPr="00AA4AE5">
        <w:rPr>
          <w:rFonts w:ascii="Calibri" w:hAnsi="Calibri" w:cs="Calibri"/>
          <w:sz w:val="24"/>
          <w:szCs w:val="24"/>
          <w:vertAlign w:val="superscript"/>
        </w:rPr>
        <w:t>26</w:t>
      </w:r>
      <w:r w:rsidR="00AA4AE5">
        <w:rPr>
          <w:rFonts w:ascii="Calibri" w:eastAsia="Calibri" w:hAnsi="Calibri" w:cs="Calibri"/>
          <w:sz w:val="24"/>
          <w:szCs w:val="24"/>
          <w:lang w:val="en-GB"/>
        </w:rPr>
        <w:fldChar w:fldCharType="end"/>
      </w:r>
      <w:r w:rsidRPr="00F77316">
        <w:rPr>
          <w:rFonts w:ascii="Calibri" w:eastAsia="Calibri" w:hAnsi="Calibri" w:cs="Calibri"/>
          <w:sz w:val="24"/>
          <w:szCs w:val="24"/>
          <w:lang w:val="en-GB"/>
        </w:rPr>
        <w:t>)</w:t>
      </w:r>
      <w:r>
        <w:rPr>
          <w:rFonts w:ascii="Calibri" w:eastAsia="Calibri" w:hAnsi="Calibri" w:cs="Calibri"/>
          <w:sz w:val="24"/>
          <w:szCs w:val="24"/>
          <w:lang w:val="en-GB"/>
        </w:rPr>
        <w:t xml:space="preserve"> as well as life expectancy of Kenya population</w:t>
      </w:r>
      <w:r>
        <w:rPr>
          <w:rFonts w:ascii="Calibri" w:eastAsia="Calibri" w:hAnsi="Calibri" w:cs="Calibri"/>
          <w:sz w:val="24"/>
          <w:szCs w:val="24"/>
          <w:lang w:val="en-GB"/>
        </w:rPr>
        <w:fldChar w:fldCharType="begin"/>
      </w:r>
      <w:r w:rsidR="00AA4AE5">
        <w:rPr>
          <w:rFonts w:ascii="Calibri" w:eastAsia="Calibri" w:hAnsi="Calibri" w:cs="Calibri"/>
          <w:sz w:val="24"/>
          <w:szCs w:val="24"/>
          <w:lang w:val="en-GB"/>
        </w:rPr>
        <w:instrText xml:space="preserve"> ADDIN ZOTERO_ITEM CSL_CITATION {"citationID":"tfNyGiAZ","properties":{"formattedCitation":"\\super 27\\nosupersub{}","plainCitation":"27","noteIndex":0},"citationItems":[{"id":7692,"uris":["http://zotero.org/users/3111854/items/KTXIBHGI"],"itemData":{"id":7692,"type":"webpage","title":"Life tables: Life tables by country Kenya","URL":"https://apps.who.int/gho/data/view.searo.60850?lang=en","accessed":{"date-parts":[["2022",5,21]]}}}],"schema":"https://github.com/citation-style-language/schema/raw/master/csl-citation.json"} </w:instrText>
      </w:r>
      <w:r>
        <w:rPr>
          <w:rFonts w:ascii="Calibri" w:eastAsia="Calibri" w:hAnsi="Calibri" w:cs="Calibri"/>
          <w:sz w:val="24"/>
          <w:szCs w:val="24"/>
          <w:lang w:val="en-GB"/>
        </w:rPr>
        <w:fldChar w:fldCharType="separate"/>
      </w:r>
      <w:r w:rsidR="00AA4AE5" w:rsidRPr="00AA4AE5">
        <w:rPr>
          <w:rFonts w:ascii="Calibri" w:hAnsi="Calibri" w:cs="Calibri"/>
          <w:sz w:val="24"/>
          <w:szCs w:val="24"/>
          <w:vertAlign w:val="superscript"/>
        </w:rPr>
        <w:t>27</w:t>
      </w:r>
      <w:r>
        <w:rPr>
          <w:rFonts w:ascii="Calibri" w:eastAsia="Calibri" w:hAnsi="Calibri" w:cs="Calibri"/>
          <w:sz w:val="24"/>
          <w:szCs w:val="24"/>
          <w:lang w:val="en-GB"/>
        </w:rPr>
        <w:fldChar w:fldCharType="end"/>
      </w:r>
      <w:r>
        <w:rPr>
          <w:rFonts w:ascii="Calibri" w:eastAsia="Calibri" w:hAnsi="Calibri" w:cs="Calibri"/>
          <w:sz w:val="24"/>
          <w:szCs w:val="24"/>
          <w:lang w:val="en-GB"/>
        </w:rPr>
        <w:t xml:space="preserve">. </w:t>
      </w:r>
      <w:r w:rsidR="00050C28">
        <w:rPr>
          <w:rFonts w:ascii="Calibri" w:eastAsia="Calibri" w:hAnsi="Calibri" w:cs="Calibri"/>
          <w:sz w:val="24"/>
          <w:szCs w:val="24"/>
          <w:lang w:val="en-GB"/>
        </w:rPr>
        <w:t>The implementation of these parameters in the model are detailed explained in section 2.4.5.</w:t>
      </w:r>
    </w:p>
    <w:p w14:paraId="0FB94486" w14:textId="5ADA2D68" w:rsidR="00395AD3" w:rsidRPr="00D64ACB" w:rsidRDefault="00395AD3" w:rsidP="00395AD3">
      <w:pPr>
        <w:ind w:left="0"/>
        <w:rPr>
          <w:b/>
          <w:bCs/>
          <w:sz w:val="24"/>
          <w:szCs w:val="24"/>
          <w:lang w:val="en-GB"/>
        </w:rPr>
      </w:pPr>
      <w:r w:rsidRPr="00D64ACB">
        <w:rPr>
          <w:b/>
          <w:bCs/>
          <w:sz w:val="24"/>
          <w:szCs w:val="24"/>
          <w:lang w:val="en-GB"/>
        </w:rPr>
        <w:t>2.4 Model parameters</w:t>
      </w:r>
    </w:p>
    <w:p w14:paraId="7F0CD4FB" w14:textId="09F1E87D" w:rsidR="00395AD3" w:rsidRDefault="00395AD3" w:rsidP="00395AD3">
      <w:pPr>
        <w:ind w:left="0"/>
        <w:rPr>
          <w:b/>
          <w:bCs/>
          <w:sz w:val="24"/>
          <w:szCs w:val="24"/>
          <w:lang w:val="en-GB"/>
        </w:rPr>
      </w:pPr>
      <w:r w:rsidRPr="00D64ACB">
        <w:rPr>
          <w:b/>
          <w:bCs/>
          <w:sz w:val="24"/>
          <w:szCs w:val="24"/>
          <w:lang w:val="en-GB"/>
        </w:rPr>
        <w:t>2.4.1 Transition probabilities</w:t>
      </w:r>
    </w:p>
    <w:p w14:paraId="2070B9A9" w14:textId="767CC71A" w:rsidR="00D64ACB" w:rsidRPr="00D64ACB" w:rsidRDefault="00D64ACB" w:rsidP="00395AD3">
      <w:pPr>
        <w:ind w:left="0"/>
        <w:rPr>
          <w:sz w:val="24"/>
          <w:szCs w:val="24"/>
          <w:lang w:val="en-GB"/>
        </w:rPr>
      </w:pPr>
      <w:r>
        <w:rPr>
          <w:sz w:val="24"/>
          <w:szCs w:val="24"/>
          <w:lang w:val="en-GB"/>
        </w:rPr>
        <w:t>Transition probabilities in the acute COVID-19 infection were extracted from systematic review</w:t>
      </w:r>
      <w:r w:rsidR="008A67C6">
        <w:rPr>
          <w:sz w:val="24"/>
          <w:szCs w:val="24"/>
          <w:lang w:val="en-GB"/>
        </w:rPr>
        <w:t>s</w:t>
      </w:r>
      <w:r>
        <w:rPr>
          <w:sz w:val="24"/>
          <w:szCs w:val="24"/>
          <w:lang w:val="en-GB"/>
        </w:rPr>
        <w:t xml:space="preserve"> and metanalyses</w:t>
      </w:r>
      <w:r w:rsidR="00050C28">
        <w:rPr>
          <w:sz w:val="24"/>
          <w:szCs w:val="24"/>
          <w:lang w:val="en-GB"/>
        </w:rPr>
        <w:t xml:space="preserve"> (</w:t>
      </w:r>
      <w:r w:rsidRPr="0012578A">
        <w:rPr>
          <w:b/>
          <w:bCs/>
          <w:sz w:val="24"/>
          <w:szCs w:val="24"/>
          <w:lang w:val="en-GB"/>
        </w:rPr>
        <w:t>Table 1</w:t>
      </w:r>
      <w:r w:rsidR="00050C28">
        <w:rPr>
          <w:sz w:val="24"/>
          <w:szCs w:val="24"/>
          <w:lang w:val="en-GB"/>
        </w:rPr>
        <w:t>)</w:t>
      </w:r>
      <w:r>
        <w:rPr>
          <w:sz w:val="24"/>
          <w:szCs w:val="24"/>
          <w:lang w:val="en-GB"/>
        </w:rPr>
        <w:t xml:space="preserve">. </w:t>
      </w:r>
      <w:r w:rsidR="00050C28">
        <w:rPr>
          <w:sz w:val="24"/>
          <w:szCs w:val="24"/>
          <w:lang w:val="en-GB"/>
        </w:rPr>
        <w:t>Transition probabilities in the Long COVID phase were based on the</w:t>
      </w:r>
      <w:r w:rsidR="00050C28">
        <w:rPr>
          <w:rFonts w:ascii="Calibri" w:hAnsi="Calibri" w:cs="Calibri"/>
          <w:sz w:val="24"/>
          <w:szCs w:val="24"/>
          <w:lang w:val="en-GB"/>
        </w:rPr>
        <w:t xml:space="preserve"> Dutch Long COVID cohort</w:t>
      </w:r>
      <w:r w:rsidR="00050C28">
        <w:rPr>
          <w:rFonts w:ascii="Calibri" w:hAnsi="Calibri" w:cs="Calibri"/>
          <w:sz w:val="24"/>
          <w:szCs w:val="24"/>
          <w:lang w:val="en-GB"/>
        </w:rPr>
        <w:fldChar w:fldCharType="begin"/>
      </w:r>
      <w:r w:rsidR="00792707">
        <w:rPr>
          <w:rFonts w:ascii="Calibri" w:hAnsi="Calibri" w:cs="Calibri"/>
          <w:sz w:val="24"/>
          <w:szCs w:val="24"/>
          <w:lang w:val="en-GB"/>
        </w:rPr>
        <w:instrText xml:space="preserve"> ADDIN ZOTERO_ITEM CSL_CITATION {"citationID":"M5bAln1P","properties":{"formattedCitation":"\\super 21,22\\nosupersub{}","plainCitation":"21,22","noteIndex":0},"citationItems":[{"id":7461,"uris":["http://zotero.org/users/3111854/items/WBSGDRBA"],"itemData":{"id":7461,"type":"report","abstract":"Background A substantial proportion of individuals infected with severe acute respiratory syndrome coronavirus-2 (SARS-CoV-2) report persisting symptoms weeks and months following acute infection. Estimates on prevalence vary due to differences in study designs, populations, heterogeneity of symptoms and the way symptoms are measured. Common symptoms include fatigue, cognitive impairment and dyspnea. However, knowledge regarding the nature and risk factors for developing persisting symptoms is still limited. Hence in this study we aim to determine the prevalence, severity, risk factors and impact on quality of life of persisting symptoms in the first year following acute SARS-CoV-2 infection.\nMethods The LongCOVID-study is both a prospective and retrospective cohort study with a one year follow up. Participants aged 5 years and above with self-reported positive or negative tests for SARS-CoV-2 will be included in the study. The primary outcome is the prevalence and severity of persistent symptoms in participants that tested positive for SARS-CoV-2 compared to controls. Symptom severity will be assessed for fatigue using the Checklist Individual Strength (CIS subscale fatigue severity), pain (Rand-36/SF-36 subscale bodily pain), dyspnea (Medical Research Council (mMRC)) and cognitive impairment using the Cognitive Failure Questionnaire (CFQ). Secondary outcomes include loss of health-related quality of life (HRQoL) and risk factors for persisting symptoms following infection with SARS-CoV-2.\nDiscussion A better understanding regarding the nature of persisting symptoms following SARS-CoV-2 infection will enable better diagnosis, management and will consequently minimize negative consequences on quality of life.\nBackground A substantial proportion of individuals infected with severe acute respiratory syndrome coronavirus-2 (SARS-CoV-2) report persisting symptoms weeks and months following acute infection. Estimates on prevalence vary due to differences in study designs, populations, heterogeneity of symptoms and the way symptoms are measured. Common symptoms include fatigue, cognitive impairment and dyspnea. However, knowledge regarding the nature and risk factors for developing persisting symptoms is still limited. Hence in this study we aim to determine the prevalence, severity, risk factors and impact on quality of life of persisting symptoms in the first year following acute SARS-CoV-2 infection.\nMethods The LongCOVID-study is both a prospective and retrospective cohort study with a one year follow up. Participants aged 5 years and above with self-reported positive or negative tests for SARS-CoV-2 will be included in the study. The primary outcome is the prevalence and severity of persistent symptoms in participants that tested positive for SARS-CoV-2 compared to controls. Symptom severity will be assessed for fatigue using the Checklist Individual Strength (CIS subscale fatigue severity), pain (Rand-36/SF-36 subscale bodily pain), dyspnea (Medical Research Council (mMRC)) and cognitive impairment using the Cognitive Failure Questionnaire (CFQ). Secondary outcomes include loss of health-related quality of life (HRQoL) and risk factors for persisting symptoms following infection with SARS-CoV-2.\nDiscussion A better understanding regarding the nature of persisting symptoms following SARS-CoV-2 infection will enable better diagnosis, management and will consequently minimize negative consequences on quality of life.","language":"en","note":"DOI: 10.1101/2022.01.10.22269009\ntype: article","page":"2022.01.10.22269009","publisher":"medRxiv","source":"medRxiv","title":"Prevalence and determinants of persistent symptoms after infection with SARS-CoV-2: Protocol for an observational cohort study (LongCOVID-study)","title-short":"Prevalence and determinants of persistent symptoms after infection with SARS-CoV-2","URL":"https://www.medrxiv.org/content/10.1101/2022.01.10.22269009v1","author":[{"family":"Mutubuki","given":"Elizabeth N."},{"family":"Maaden","given":"Tessa","dropping-particle":"van der"},{"family":"Leung","given":"Ka Yin"},{"family":"Wong","given":"Albert"},{"family":"Tulen","given":"Anna D."},{"family":"Bruijn","given":"Siméon","dropping-particle":"de"},{"family":"Haverman","given":"Lotte"},{"family":"Knoop","given":"Hans"},{"family":"Franz","given":"Eelco"},{"family":"Hoek","given":"Albert Jan","dropping-particle":"van"},{"family":"Wijngaard","given":"Cees C.","dropping-particle":"van den"}],"accessed":{"date-parts":[["2022",4,1]]},"issued":{"date-parts":[["2022",1,11]]}}},{"id":7956,"uris":["http://zotero.org/users/3111854/items/U8KFD55D"],"itemData":{"id":7956,"type":"article","abstract":"Background More information is needed on prevalence of long-term symptoms after SARS-CoV-2-infection. This prospective study assesses symptoms three months after SARS-CoV-2-infection compared to test-negative and population controls, and the effect of vaccination prior to infection.\nMethods Participants enrolled after a positive (cases) or negative (test-negative controls) SARS-CoV-2-test, or after invitation from the general population (population controls). After three months, participants indicated presence of 41 symptoms, and severity of four symptoms. Permutation tests were used to select symptoms significantly elevated in cases compared to controls and to compare symptoms between cases that were vaccinated or unvaccinated prior to infection.\nFindings Between May 19th and December 13th 2021 9166 cases, 1698 symptomatic but test-negative controls, and 3708 population controls enrolled. At three months, 13 symptoms, and severity of fatigue, cognitive impairment and dyspnoea, were significantly elevated between cases and controls. Of cases, 48.5% reported ≥1 significantly elevated symptom, compared to 29.8% of test-negative controls and 26.0% of population controls. Effect of vaccination could only be determined for cases &lt;65yrs, and was found to be significantly protective for loss of smell and taste but not for other symptoms.\nInterpretation Three months after SARS-CoV-2 infection, almost half of the cases still report symptoms, which is higher than the background prevalence and prevalence in test-negative controls. Vaccination prior to infection was protective against loss of smell and taste as assessed in cases aged &lt;65.\nBackground More information is needed on prevalence of long-term symptoms after SARS-CoV-2-infection. This prospective study assesses symptoms three months after SARS-CoV-2-infection compared to test-negative and population controls, and the effect of vaccination prior to infection.\nMethods Participants enrolled after a positive (cases) or negative (test-negative controls) SARS-CoV-2-test, or after invitation from the general population (population controls). After three months, participants indicated presence of 41 symptoms, and severity of four symptoms. Permutation tests were used to select symptoms significantly elevated in cases compared to controls and to compare symptoms between cases that were vaccinated or unvaccinated prior to infection.\nFindings Between May 19th and December 13th 2021 9166 cases, 1698 symptomatic but test-negative controls, and 3708 population controls enrolled. At three months, 13 symptoms, and severity of fatigue, cognitive impairment and dyspnoea, were significantly elevated between cases and controls. Of cases, 48.5% reported ≥1 significantly elevated symptom, compared to 29.8% of test-negative controls and 26.0% of population controls. Effect of vaccination could only be determined for cases &lt;65yrs, and was found to be significantly protective for loss of smell and taste but not for other symptoms.\nInterpretation Three months after SARS-CoV-2 infection, almost half of the cases still report symptoms, which is higher than the background prevalence and prevalence in test-negative controls. Vaccination prior to infection was protective against loss of smell and taste as assessed in cases aged &lt;65.","DOI":"10.1101/2022.06.15.22276439","language":"en","note":"page: 2022.06.15.22276439","publisher":"medRxiv","source":"medRxiv","title":"Prevalence and severity of symptoms 3 months after infection with SARS-CoV-2 compared to test-negative and population controls in the Netherlands","URL":"https://www.medrxiv.org/content/10.1101/2022.06.15.22276439v1","author":[{"family":"Maaden","given":"Tessa","dropping-particle":"van der"},{"family":"Mutubuki","given":"Elizabeth N."},{"family":"Bruijn","given":"Siméon","dropping-particle":"de"},{"family":"Leung","given":"Ka Yin"},{"family":"Knoop","given":"Hans"},{"family":"Slootweg","given":"Jaap"},{"family":"Tulen","given":"Anna D."},{"family":"Wong","given":"Albert"},{"family":"Hoek","given":"Albert Jan","dropping-particle":"van"},{"family":"Franz","given":"Eelco"},{"family":"Wijngaard","given":"Cees C. Van","dropping-particle":"den"}],"accessed":{"date-parts":[["2022",7,5]]},"issued":{"date-parts":[["2022",6,16]]}}}],"schema":"https://github.com/citation-style-language/schema/raw/master/csl-citation.json"} </w:instrText>
      </w:r>
      <w:r w:rsidR="00050C28">
        <w:rPr>
          <w:rFonts w:ascii="Calibri" w:hAnsi="Calibri" w:cs="Calibri"/>
          <w:sz w:val="24"/>
          <w:szCs w:val="24"/>
          <w:lang w:val="en-GB"/>
        </w:rPr>
        <w:fldChar w:fldCharType="separate"/>
      </w:r>
      <w:r w:rsidR="00050C28" w:rsidRPr="005C1131">
        <w:rPr>
          <w:rFonts w:ascii="Calibri" w:hAnsi="Calibri" w:cs="Calibri"/>
          <w:sz w:val="24"/>
          <w:szCs w:val="24"/>
          <w:vertAlign w:val="superscript"/>
        </w:rPr>
        <w:t>21,22</w:t>
      </w:r>
      <w:r w:rsidR="00050C28">
        <w:rPr>
          <w:rFonts w:ascii="Calibri" w:hAnsi="Calibri" w:cs="Calibri"/>
          <w:sz w:val="24"/>
          <w:szCs w:val="24"/>
          <w:lang w:val="en-GB"/>
        </w:rPr>
        <w:fldChar w:fldCharType="end"/>
      </w:r>
      <w:r w:rsidR="00050C28">
        <w:rPr>
          <w:rFonts w:ascii="Calibri" w:hAnsi="Calibri" w:cs="Calibri"/>
          <w:sz w:val="24"/>
          <w:szCs w:val="24"/>
          <w:lang w:val="en-GB"/>
        </w:rPr>
        <w:t xml:space="preserve"> (</w:t>
      </w:r>
      <w:r w:rsidR="00050C28" w:rsidRPr="0012578A">
        <w:rPr>
          <w:rFonts w:ascii="Calibri" w:hAnsi="Calibri" w:cs="Calibri"/>
          <w:b/>
          <w:bCs/>
          <w:sz w:val="24"/>
          <w:szCs w:val="24"/>
          <w:lang w:val="en-GB"/>
        </w:rPr>
        <w:t>Table 1</w:t>
      </w:r>
      <w:r w:rsidR="00050C28">
        <w:rPr>
          <w:rFonts w:ascii="Calibri" w:hAnsi="Calibri" w:cs="Calibri"/>
          <w:sz w:val="24"/>
          <w:szCs w:val="24"/>
          <w:lang w:val="en-GB"/>
        </w:rPr>
        <w:t>).</w:t>
      </w:r>
    </w:p>
    <w:p w14:paraId="05205542" w14:textId="05F651D4" w:rsidR="00395AD3" w:rsidRDefault="00395AD3" w:rsidP="00395AD3">
      <w:pPr>
        <w:ind w:left="0"/>
        <w:rPr>
          <w:b/>
          <w:bCs/>
          <w:sz w:val="24"/>
          <w:szCs w:val="24"/>
          <w:lang w:val="en-GB"/>
        </w:rPr>
      </w:pPr>
      <w:r w:rsidRPr="00D64ACB">
        <w:rPr>
          <w:b/>
          <w:bCs/>
          <w:sz w:val="24"/>
          <w:szCs w:val="24"/>
          <w:lang w:val="en-GB"/>
        </w:rPr>
        <w:t>2.4.2 Q</w:t>
      </w:r>
      <w:r w:rsidR="0076234E">
        <w:rPr>
          <w:b/>
          <w:bCs/>
          <w:sz w:val="24"/>
          <w:szCs w:val="24"/>
          <w:lang w:val="en-GB"/>
        </w:rPr>
        <w:t>uality-adjusted life year losses</w:t>
      </w:r>
    </w:p>
    <w:p w14:paraId="6350425C" w14:textId="7F1F6B02" w:rsidR="00395AD3" w:rsidRPr="00301503" w:rsidRDefault="00395AD3" w:rsidP="00395AD3">
      <w:pPr>
        <w:ind w:left="0"/>
        <w:rPr>
          <w:b/>
          <w:bCs/>
          <w:sz w:val="24"/>
          <w:szCs w:val="24"/>
          <w:lang w:val="en-GB"/>
        </w:rPr>
      </w:pPr>
      <w:r w:rsidRPr="00301503">
        <w:rPr>
          <w:b/>
          <w:bCs/>
          <w:sz w:val="24"/>
          <w:szCs w:val="24"/>
          <w:lang w:val="en-GB"/>
        </w:rPr>
        <w:t>2.4.3 D</w:t>
      </w:r>
      <w:r w:rsidR="00536D4A">
        <w:rPr>
          <w:b/>
          <w:bCs/>
          <w:sz w:val="24"/>
          <w:szCs w:val="24"/>
          <w:lang w:val="en-GB"/>
        </w:rPr>
        <w:t xml:space="preserve">isability </w:t>
      </w:r>
    </w:p>
    <w:p w14:paraId="46664F89" w14:textId="0E216DE2" w:rsidR="00395AD3" w:rsidRPr="00301503" w:rsidRDefault="00395AD3" w:rsidP="00395AD3">
      <w:pPr>
        <w:ind w:left="0"/>
        <w:rPr>
          <w:b/>
          <w:bCs/>
          <w:sz w:val="24"/>
          <w:szCs w:val="24"/>
          <w:lang w:val="en-GB"/>
        </w:rPr>
      </w:pPr>
      <w:r w:rsidRPr="00301503">
        <w:rPr>
          <w:b/>
          <w:bCs/>
          <w:sz w:val="24"/>
          <w:szCs w:val="24"/>
          <w:lang w:val="en-GB"/>
        </w:rPr>
        <w:t>2.4.4 Productivity Losses</w:t>
      </w:r>
    </w:p>
    <w:p w14:paraId="338139F0" w14:textId="563DB81A" w:rsidR="00395AD3" w:rsidRPr="00301503" w:rsidRDefault="00395AD3" w:rsidP="00395AD3">
      <w:pPr>
        <w:ind w:left="0"/>
        <w:rPr>
          <w:b/>
          <w:bCs/>
          <w:sz w:val="24"/>
          <w:szCs w:val="24"/>
          <w:lang w:val="en-GB"/>
        </w:rPr>
      </w:pPr>
      <w:r w:rsidRPr="00301503">
        <w:rPr>
          <w:b/>
          <w:bCs/>
          <w:sz w:val="24"/>
          <w:szCs w:val="24"/>
          <w:lang w:val="en-GB"/>
        </w:rPr>
        <w:lastRenderedPageBreak/>
        <w:t>2.4.5 Other parameters</w:t>
      </w:r>
    </w:p>
    <w:p w14:paraId="4CE29FC0" w14:textId="5264780E" w:rsidR="00395AD3" w:rsidRPr="00301503" w:rsidRDefault="00395AD3" w:rsidP="00395AD3">
      <w:pPr>
        <w:ind w:left="0"/>
        <w:rPr>
          <w:b/>
          <w:bCs/>
          <w:sz w:val="24"/>
          <w:szCs w:val="24"/>
          <w:lang w:val="en-GB"/>
        </w:rPr>
      </w:pPr>
      <w:r w:rsidRPr="00301503">
        <w:rPr>
          <w:b/>
          <w:bCs/>
          <w:sz w:val="24"/>
          <w:szCs w:val="24"/>
          <w:lang w:val="en-GB"/>
        </w:rPr>
        <w:t>2.5 Analysis</w:t>
      </w:r>
    </w:p>
    <w:p w14:paraId="735E8514" w14:textId="200CC48F" w:rsidR="00395AD3" w:rsidRPr="00301503" w:rsidRDefault="00395AD3" w:rsidP="00395AD3">
      <w:pPr>
        <w:ind w:left="0"/>
        <w:rPr>
          <w:b/>
          <w:bCs/>
          <w:sz w:val="24"/>
          <w:szCs w:val="24"/>
          <w:lang w:val="en-GB"/>
        </w:rPr>
      </w:pPr>
      <w:r w:rsidRPr="00301503">
        <w:rPr>
          <w:b/>
          <w:bCs/>
          <w:sz w:val="24"/>
          <w:szCs w:val="24"/>
          <w:lang w:val="en-GB"/>
        </w:rPr>
        <w:t>2.6 Sensitivity analysis</w:t>
      </w:r>
    </w:p>
    <w:p w14:paraId="77AFBC80" w14:textId="534B69FE" w:rsidR="00164A49" w:rsidRPr="00460AFC" w:rsidRDefault="00164A49" w:rsidP="00A175A0">
      <w:pPr>
        <w:ind w:left="0"/>
        <w:rPr>
          <w:b/>
          <w:bCs/>
          <w:sz w:val="28"/>
          <w:szCs w:val="28"/>
          <w:lang w:val="en-GB"/>
        </w:rPr>
      </w:pPr>
      <w:r w:rsidRPr="00460AFC">
        <w:rPr>
          <w:b/>
          <w:bCs/>
          <w:sz w:val="28"/>
          <w:szCs w:val="28"/>
          <w:lang w:val="en-GB"/>
        </w:rPr>
        <w:t>Results</w:t>
      </w:r>
    </w:p>
    <w:p w14:paraId="5EBA6FD4" w14:textId="75E6D31E" w:rsidR="00164A49" w:rsidRPr="00460AFC" w:rsidRDefault="00164A49" w:rsidP="00A175A0">
      <w:pPr>
        <w:ind w:left="0"/>
        <w:rPr>
          <w:b/>
          <w:bCs/>
          <w:sz w:val="28"/>
          <w:szCs w:val="28"/>
          <w:lang w:val="en-GB"/>
        </w:rPr>
      </w:pPr>
      <w:r w:rsidRPr="00460AFC">
        <w:rPr>
          <w:b/>
          <w:bCs/>
          <w:sz w:val="28"/>
          <w:szCs w:val="28"/>
          <w:lang w:val="en-GB"/>
        </w:rPr>
        <w:t>Discussion</w:t>
      </w:r>
    </w:p>
    <w:p w14:paraId="0AD1B529" w14:textId="31E28836" w:rsidR="00164A49" w:rsidRPr="00460AFC" w:rsidRDefault="00164A49" w:rsidP="00A175A0">
      <w:pPr>
        <w:ind w:left="0"/>
        <w:rPr>
          <w:b/>
          <w:bCs/>
          <w:sz w:val="24"/>
          <w:szCs w:val="24"/>
          <w:lang w:val="en-GB"/>
        </w:rPr>
      </w:pPr>
      <w:r w:rsidRPr="00460AFC">
        <w:rPr>
          <w:b/>
          <w:bCs/>
          <w:sz w:val="24"/>
          <w:szCs w:val="24"/>
          <w:lang w:val="en-GB"/>
        </w:rPr>
        <w:t>Main findings</w:t>
      </w:r>
    </w:p>
    <w:p w14:paraId="5A904753" w14:textId="1E3561C5" w:rsidR="00164A49" w:rsidRPr="00460AFC" w:rsidRDefault="00164A49" w:rsidP="00A175A0">
      <w:pPr>
        <w:ind w:left="0"/>
        <w:rPr>
          <w:b/>
          <w:bCs/>
          <w:sz w:val="24"/>
          <w:szCs w:val="24"/>
          <w:lang w:val="en-GB"/>
        </w:rPr>
      </w:pPr>
      <w:r w:rsidRPr="00460AFC">
        <w:rPr>
          <w:b/>
          <w:bCs/>
          <w:sz w:val="24"/>
          <w:szCs w:val="24"/>
          <w:lang w:val="en-GB"/>
        </w:rPr>
        <w:t>Explanation of findings and comparison with the literature</w:t>
      </w:r>
    </w:p>
    <w:p w14:paraId="00F48DA6" w14:textId="6F680D5A" w:rsidR="00164A49" w:rsidRPr="00460AFC" w:rsidRDefault="00164A49" w:rsidP="00A175A0">
      <w:pPr>
        <w:ind w:left="0"/>
        <w:rPr>
          <w:b/>
          <w:bCs/>
          <w:sz w:val="24"/>
          <w:szCs w:val="24"/>
          <w:lang w:val="en-GB"/>
        </w:rPr>
      </w:pPr>
      <w:r w:rsidRPr="00460AFC">
        <w:rPr>
          <w:b/>
          <w:bCs/>
          <w:sz w:val="24"/>
          <w:szCs w:val="24"/>
          <w:lang w:val="en-GB"/>
        </w:rPr>
        <w:t>Strengths and limitations</w:t>
      </w:r>
    </w:p>
    <w:p w14:paraId="6CFB0615" w14:textId="46000465" w:rsidR="00164A49" w:rsidRPr="00460AFC" w:rsidRDefault="00164A49" w:rsidP="00A175A0">
      <w:pPr>
        <w:ind w:left="0"/>
        <w:rPr>
          <w:b/>
          <w:bCs/>
          <w:sz w:val="24"/>
          <w:szCs w:val="24"/>
          <w:lang w:val="en-GB"/>
        </w:rPr>
      </w:pPr>
      <w:r w:rsidRPr="00460AFC">
        <w:rPr>
          <w:b/>
          <w:bCs/>
          <w:sz w:val="24"/>
          <w:szCs w:val="24"/>
          <w:lang w:val="en-GB"/>
        </w:rPr>
        <w:t>Implications to decision-making</w:t>
      </w:r>
    </w:p>
    <w:p w14:paraId="0D09CAFF" w14:textId="70099F0E" w:rsidR="00164A49" w:rsidRPr="00460AFC" w:rsidRDefault="00164A49" w:rsidP="00A175A0">
      <w:pPr>
        <w:ind w:left="0"/>
        <w:rPr>
          <w:b/>
          <w:bCs/>
          <w:sz w:val="28"/>
          <w:szCs w:val="28"/>
          <w:lang w:val="en-GB"/>
        </w:rPr>
      </w:pPr>
      <w:r w:rsidRPr="00460AFC">
        <w:rPr>
          <w:b/>
          <w:bCs/>
          <w:sz w:val="28"/>
          <w:szCs w:val="28"/>
          <w:lang w:val="en-GB"/>
        </w:rPr>
        <w:t>Conclusion</w:t>
      </w:r>
    </w:p>
    <w:p w14:paraId="0C32D885" w14:textId="77777777" w:rsidR="00DF6E49" w:rsidRDefault="00DF6E49">
      <w:pPr>
        <w:ind w:left="748"/>
        <w:rPr>
          <w:b/>
          <w:bCs/>
          <w:sz w:val="28"/>
          <w:szCs w:val="28"/>
          <w:lang w:val="en-GB"/>
        </w:rPr>
      </w:pPr>
      <w:r>
        <w:rPr>
          <w:b/>
          <w:bCs/>
          <w:sz w:val="28"/>
          <w:szCs w:val="28"/>
          <w:lang w:val="en-GB"/>
        </w:rPr>
        <w:br w:type="page"/>
      </w:r>
    </w:p>
    <w:p w14:paraId="3C27CF07" w14:textId="5755A8A0" w:rsidR="00164A49" w:rsidRPr="00460AFC" w:rsidRDefault="00460AFC" w:rsidP="00460AFC">
      <w:pPr>
        <w:ind w:left="0"/>
        <w:rPr>
          <w:b/>
          <w:bCs/>
          <w:sz w:val="28"/>
          <w:szCs w:val="28"/>
          <w:lang w:val="en-GB"/>
        </w:rPr>
      </w:pPr>
      <w:r w:rsidRPr="00460AFC">
        <w:rPr>
          <w:b/>
          <w:bCs/>
          <w:sz w:val="28"/>
          <w:szCs w:val="28"/>
          <w:lang w:val="en-GB"/>
        </w:rPr>
        <w:lastRenderedPageBreak/>
        <w:t>References</w:t>
      </w:r>
    </w:p>
    <w:p w14:paraId="044E7F06" w14:textId="77777777" w:rsidR="00785BD2" w:rsidRPr="00785BD2" w:rsidRDefault="007035DE" w:rsidP="00785BD2">
      <w:pPr>
        <w:pStyle w:val="Bibliography"/>
        <w:rPr>
          <w:rFonts w:ascii="Calibri" w:hAnsi="Calibri" w:cs="Calibri"/>
          <w:sz w:val="24"/>
        </w:rPr>
      </w:pPr>
      <w:r>
        <w:rPr>
          <w:lang w:val="en-GB"/>
        </w:rPr>
        <w:fldChar w:fldCharType="begin"/>
      </w:r>
      <w:r w:rsidR="00792707">
        <w:rPr>
          <w:lang w:val="en-GB"/>
        </w:rPr>
        <w:instrText xml:space="preserve"> ADDIN ZOTERO_BIBL {"uncited":[],"omitted":[],"custom":[]} CSL_BIBLIOGRAPHY </w:instrText>
      </w:r>
      <w:r>
        <w:rPr>
          <w:lang w:val="en-GB"/>
        </w:rPr>
        <w:fldChar w:fldCharType="separate"/>
      </w:r>
      <w:r w:rsidR="00785BD2" w:rsidRPr="00785BD2">
        <w:rPr>
          <w:rFonts w:ascii="Calibri" w:hAnsi="Calibri" w:cs="Calibri"/>
          <w:sz w:val="24"/>
        </w:rPr>
        <w:t>1</w:t>
      </w:r>
      <w:r w:rsidR="00785BD2" w:rsidRPr="00785BD2">
        <w:rPr>
          <w:rFonts w:ascii="Calibri" w:hAnsi="Calibri" w:cs="Calibri"/>
          <w:sz w:val="24"/>
        </w:rPr>
        <w:tab/>
        <w:t>WHO. COVID-19 continues to disrupt essential health services in 90% of countries. 2021; published online April 23. https://www.who.int/news/item/23-04-2021-covid-19-continues-to-disrupt-essential-health-services-in-90-of-countries (accessed Feb 5, 2022).</w:t>
      </w:r>
    </w:p>
    <w:p w14:paraId="526BB3D0" w14:textId="77777777" w:rsidR="00785BD2" w:rsidRPr="00785BD2" w:rsidRDefault="00785BD2" w:rsidP="00785BD2">
      <w:pPr>
        <w:pStyle w:val="Bibliography"/>
        <w:rPr>
          <w:rFonts w:ascii="Calibri" w:hAnsi="Calibri" w:cs="Calibri"/>
          <w:sz w:val="24"/>
        </w:rPr>
      </w:pPr>
      <w:r w:rsidRPr="00785BD2">
        <w:rPr>
          <w:rFonts w:ascii="Calibri" w:hAnsi="Calibri" w:cs="Calibri"/>
          <w:sz w:val="24"/>
        </w:rPr>
        <w:t>2</w:t>
      </w:r>
      <w:r w:rsidRPr="00785BD2">
        <w:rPr>
          <w:rFonts w:ascii="Calibri" w:hAnsi="Calibri" w:cs="Calibri"/>
          <w:sz w:val="24"/>
        </w:rPr>
        <w:tab/>
        <w:t xml:space="preserve">Ledford H. Do vaccines protect against long COVID? What the data say. </w:t>
      </w:r>
      <w:r w:rsidRPr="00785BD2">
        <w:rPr>
          <w:rFonts w:ascii="Calibri" w:hAnsi="Calibri" w:cs="Calibri"/>
          <w:i/>
          <w:iCs/>
          <w:sz w:val="24"/>
        </w:rPr>
        <w:t>Nature</w:t>
      </w:r>
      <w:r w:rsidRPr="00785BD2">
        <w:rPr>
          <w:rFonts w:ascii="Calibri" w:hAnsi="Calibri" w:cs="Calibri"/>
          <w:sz w:val="24"/>
        </w:rPr>
        <w:t xml:space="preserve"> 2021; </w:t>
      </w:r>
      <w:r w:rsidRPr="00785BD2">
        <w:rPr>
          <w:rFonts w:ascii="Calibri" w:hAnsi="Calibri" w:cs="Calibri"/>
          <w:b/>
          <w:bCs/>
          <w:sz w:val="24"/>
        </w:rPr>
        <w:t>599</w:t>
      </w:r>
      <w:r w:rsidRPr="00785BD2">
        <w:rPr>
          <w:rFonts w:ascii="Calibri" w:hAnsi="Calibri" w:cs="Calibri"/>
          <w:sz w:val="24"/>
        </w:rPr>
        <w:t>: 546–8.</w:t>
      </w:r>
    </w:p>
    <w:p w14:paraId="08DE19F8" w14:textId="77777777" w:rsidR="00785BD2" w:rsidRPr="00785BD2" w:rsidRDefault="00785BD2" w:rsidP="00785BD2">
      <w:pPr>
        <w:pStyle w:val="Bibliography"/>
        <w:rPr>
          <w:rFonts w:ascii="Calibri" w:hAnsi="Calibri" w:cs="Calibri"/>
          <w:sz w:val="24"/>
        </w:rPr>
      </w:pPr>
      <w:r w:rsidRPr="00785BD2">
        <w:rPr>
          <w:rFonts w:ascii="Calibri" w:hAnsi="Calibri" w:cs="Calibri"/>
          <w:sz w:val="24"/>
        </w:rPr>
        <w:t>3</w:t>
      </w:r>
      <w:r w:rsidRPr="00785BD2">
        <w:rPr>
          <w:rFonts w:ascii="Calibri" w:hAnsi="Calibri" w:cs="Calibri"/>
          <w:sz w:val="24"/>
        </w:rPr>
        <w:tab/>
        <w:t xml:space="preserve">Crook H, Raza S, Nowell J, Young M, Edison P. Long covid—mechanisms, risk factors, and management. </w:t>
      </w:r>
      <w:r w:rsidRPr="00785BD2">
        <w:rPr>
          <w:rFonts w:ascii="Calibri" w:hAnsi="Calibri" w:cs="Calibri"/>
          <w:i/>
          <w:iCs/>
          <w:sz w:val="24"/>
        </w:rPr>
        <w:t>BMJ</w:t>
      </w:r>
      <w:r w:rsidRPr="00785BD2">
        <w:rPr>
          <w:rFonts w:ascii="Calibri" w:hAnsi="Calibri" w:cs="Calibri"/>
          <w:sz w:val="24"/>
        </w:rPr>
        <w:t xml:space="preserve"> 2021</w:t>
      </w:r>
      <w:proofErr w:type="gramStart"/>
      <w:r w:rsidRPr="00785BD2">
        <w:rPr>
          <w:rFonts w:ascii="Calibri" w:hAnsi="Calibri" w:cs="Calibri"/>
          <w:sz w:val="24"/>
        </w:rPr>
        <w:t>; :</w:t>
      </w:r>
      <w:proofErr w:type="gramEnd"/>
      <w:r w:rsidRPr="00785BD2">
        <w:rPr>
          <w:rFonts w:ascii="Calibri" w:hAnsi="Calibri" w:cs="Calibri"/>
          <w:sz w:val="24"/>
        </w:rPr>
        <w:t xml:space="preserve"> n1648.</w:t>
      </w:r>
    </w:p>
    <w:p w14:paraId="4B96E5AE" w14:textId="77777777" w:rsidR="00785BD2" w:rsidRPr="00785BD2" w:rsidRDefault="00785BD2" w:rsidP="00785BD2">
      <w:pPr>
        <w:pStyle w:val="Bibliography"/>
        <w:rPr>
          <w:rFonts w:ascii="Calibri" w:hAnsi="Calibri" w:cs="Calibri"/>
          <w:sz w:val="24"/>
        </w:rPr>
      </w:pPr>
      <w:r w:rsidRPr="00785BD2">
        <w:rPr>
          <w:rFonts w:ascii="Calibri" w:hAnsi="Calibri" w:cs="Calibri"/>
          <w:sz w:val="24"/>
        </w:rPr>
        <w:t>4</w:t>
      </w:r>
      <w:r w:rsidRPr="00785BD2">
        <w:rPr>
          <w:rFonts w:ascii="Calibri" w:hAnsi="Calibri" w:cs="Calibri"/>
          <w:sz w:val="24"/>
        </w:rPr>
        <w:tab/>
        <w:t xml:space="preserve">Huang Y, Pinto MD, Borelli JL, </w:t>
      </w:r>
      <w:r w:rsidRPr="00785BD2">
        <w:rPr>
          <w:rFonts w:ascii="Calibri" w:hAnsi="Calibri" w:cs="Calibri"/>
          <w:i/>
          <w:iCs/>
          <w:sz w:val="24"/>
        </w:rPr>
        <w:t>et al.</w:t>
      </w:r>
      <w:r w:rsidRPr="00785BD2">
        <w:rPr>
          <w:rFonts w:ascii="Calibri" w:hAnsi="Calibri" w:cs="Calibri"/>
          <w:sz w:val="24"/>
        </w:rPr>
        <w:t xml:space="preserve"> COVID Symptoms, Symptom Clusters, and Predictors for Becoming a Long-Hauler: Looking for Clarity in the Haze of the Pandemic. </w:t>
      </w:r>
      <w:proofErr w:type="spellStart"/>
      <w:r w:rsidRPr="00785BD2">
        <w:rPr>
          <w:rFonts w:ascii="Calibri" w:hAnsi="Calibri" w:cs="Calibri"/>
          <w:i/>
          <w:iCs/>
          <w:sz w:val="24"/>
        </w:rPr>
        <w:t>medRxiv</w:t>
      </w:r>
      <w:proofErr w:type="spellEnd"/>
      <w:r w:rsidRPr="00785BD2">
        <w:rPr>
          <w:rFonts w:ascii="Calibri" w:hAnsi="Calibri" w:cs="Calibri"/>
          <w:sz w:val="24"/>
        </w:rPr>
        <w:t xml:space="preserve"> 2021</w:t>
      </w:r>
      <w:proofErr w:type="gramStart"/>
      <w:r w:rsidRPr="00785BD2">
        <w:rPr>
          <w:rFonts w:ascii="Calibri" w:hAnsi="Calibri" w:cs="Calibri"/>
          <w:sz w:val="24"/>
        </w:rPr>
        <w:t>; :</w:t>
      </w:r>
      <w:proofErr w:type="gramEnd"/>
      <w:r w:rsidRPr="00785BD2">
        <w:rPr>
          <w:rFonts w:ascii="Calibri" w:hAnsi="Calibri" w:cs="Calibri"/>
          <w:sz w:val="24"/>
        </w:rPr>
        <w:t xml:space="preserve"> 2021.03.03.21252086.</w:t>
      </w:r>
    </w:p>
    <w:p w14:paraId="76F632F4" w14:textId="77777777" w:rsidR="00785BD2" w:rsidRPr="00785BD2" w:rsidRDefault="00785BD2" w:rsidP="00785BD2">
      <w:pPr>
        <w:pStyle w:val="Bibliography"/>
        <w:rPr>
          <w:rFonts w:ascii="Calibri" w:hAnsi="Calibri" w:cs="Calibri"/>
          <w:sz w:val="24"/>
        </w:rPr>
      </w:pPr>
      <w:r w:rsidRPr="00785BD2">
        <w:rPr>
          <w:rFonts w:ascii="Calibri" w:hAnsi="Calibri" w:cs="Calibri"/>
          <w:sz w:val="24"/>
        </w:rPr>
        <w:t>5</w:t>
      </w:r>
      <w:r w:rsidRPr="00785BD2">
        <w:rPr>
          <w:rFonts w:ascii="Calibri" w:hAnsi="Calibri" w:cs="Calibri"/>
          <w:sz w:val="24"/>
        </w:rPr>
        <w:tab/>
        <w:t>NIHR. Living with Covid19 – Second review. NIHR Evidence. 2021; published online March 16. DOI:10.3310/themedreview_45225.</w:t>
      </w:r>
    </w:p>
    <w:p w14:paraId="5E0DA650" w14:textId="77777777" w:rsidR="00785BD2" w:rsidRPr="00785BD2" w:rsidRDefault="00785BD2" w:rsidP="00785BD2">
      <w:pPr>
        <w:pStyle w:val="Bibliography"/>
        <w:rPr>
          <w:rFonts w:ascii="Calibri" w:hAnsi="Calibri" w:cs="Calibri"/>
          <w:sz w:val="24"/>
        </w:rPr>
      </w:pPr>
      <w:r w:rsidRPr="00785BD2">
        <w:rPr>
          <w:rFonts w:ascii="Calibri" w:hAnsi="Calibri" w:cs="Calibri"/>
          <w:sz w:val="24"/>
        </w:rPr>
        <w:t>6</w:t>
      </w:r>
      <w:r w:rsidRPr="00785BD2">
        <w:rPr>
          <w:rFonts w:ascii="Calibri" w:hAnsi="Calibri" w:cs="Calibri"/>
          <w:sz w:val="24"/>
        </w:rPr>
        <w:tab/>
      </w:r>
      <w:proofErr w:type="spellStart"/>
      <w:r w:rsidRPr="00785BD2">
        <w:rPr>
          <w:rFonts w:ascii="Calibri" w:hAnsi="Calibri" w:cs="Calibri"/>
          <w:sz w:val="24"/>
        </w:rPr>
        <w:t>Sudre</w:t>
      </w:r>
      <w:proofErr w:type="spellEnd"/>
      <w:r w:rsidRPr="00785BD2">
        <w:rPr>
          <w:rFonts w:ascii="Calibri" w:hAnsi="Calibri" w:cs="Calibri"/>
          <w:sz w:val="24"/>
        </w:rPr>
        <w:t xml:space="preserve"> CH, Murray B, </w:t>
      </w:r>
      <w:proofErr w:type="spellStart"/>
      <w:r w:rsidRPr="00785BD2">
        <w:rPr>
          <w:rFonts w:ascii="Calibri" w:hAnsi="Calibri" w:cs="Calibri"/>
          <w:sz w:val="24"/>
        </w:rPr>
        <w:t>Varsavsky</w:t>
      </w:r>
      <w:proofErr w:type="spellEnd"/>
      <w:r w:rsidRPr="00785BD2">
        <w:rPr>
          <w:rFonts w:ascii="Calibri" w:hAnsi="Calibri" w:cs="Calibri"/>
          <w:sz w:val="24"/>
        </w:rPr>
        <w:t xml:space="preserve"> T, </w:t>
      </w:r>
      <w:r w:rsidRPr="00785BD2">
        <w:rPr>
          <w:rFonts w:ascii="Calibri" w:hAnsi="Calibri" w:cs="Calibri"/>
          <w:i/>
          <w:iCs/>
          <w:sz w:val="24"/>
        </w:rPr>
        <w:t>et al.</w:t>
      </w:r>
      <w:r w:rsidRPr="00785BD2">
        <w:rPr>
          <w:rFonts w:ascii="Calibri" w:hAnsi="Calibri" w:cs="Calibri"/>
          <w:sz w:val="24"/>
        </w:rPr>
        <w:t xml:space="preserve"> Attributes and predictors of long COVID. </w:t>
      </w:r>
      <w:r w:rsidRPr="00785BD2">
        <w:rPr>
          <w:rFonts w:ascii="Calibri" w:hAnsi="Calibri" w:cs="Calibri"/>
          <w:i/>
          <w:iCs/>
          <w:sz w:val="24"/>
        </w:rPr>
        <w:t>Nat Med</w:t>
      </w:r>
      <w:r w:rsidRPr="00785BD2">
        <w:rPr>
          <w:rFonts w:ascii="Calibri" w:hAnsi="Calibri" w:cs="Calibri"/>
          <w:sz w:val="24"/>
        </w:rPr>
        <w:t xml:space="preserve"> 2021; </w:t>
      </w:r>
      <w:r w:rsidRPr="00785BD2">
        <w:rPr>
          <w:rFonts w:ascii="Calibri" w:hAnsi="Calibri" w:cs="Calibri"/>
          <w:b/>
          <w:bCs/>
          <w:sz w:val="24"/>
        </w:rPr>
        <w:t>27</w:t>
      </w:r>
      <w:r w:rsidRPr="00785BD2">
        <w:rPr>
          <w:rFonts w:ascii="Calibri" w:hAnsi="Calibri" w:cs="Calibri"/>
          <w:sz w:val="24"/>
        </w:rPr>
        <w:t>: 626–31.</w:t>
      </w:r>
    </w:p>
    <w:p w14:paraId="4CB225A6" w14:textId="77777777" w:rsidR="00785BD2" w:rsidRPr="00785BD2" w:rsidRDefault="00785BD2" w:rsidP="00785BD2">
      <w:pPr>
        <w:pStyle w:val="Bibliography"/>
        <w:rPr>
          <w:rFonts w:ascii="Calibri" w:hAnsi="Calibri" w:cs="Calibri"/>
          <w:sz w:val="24"/>
        </w:rPr>
      </w:pPr>
      <w:r w:rsidRPr="00785BD2">
        <w:rPr>
          <w:rFonts w:ascii="Calibri" w:hAnsi="Calibri" w:cs="Calibri"/>
          <w:sz w:val="24"/>
        </w:rPr>
        <w:t>7</w:t>
      </w:r>
      <w:r w:rsidRPr="00785BD2">
        <w:rPr>
          <w:rFonts w:ascii="Calibri" w:hAnsi="Calibri" w:cs="Calibri"/>
          <w:sz w:val="24"/>
        </w:rPr>
        <w:tab/>
        <w:t xml:space="preserve">Michelen M, Manoharan L, </w:t>
      </w:r>
      <w:proofErr w:type="spellStart"/>
      <w:r w:rsidRPr="00785BD2">
        <w:rPr>
          <w:rFonts w:ascii="Calibri" w:hAnsi="Calibri" w:cs="Calibri"/>
          <w:sz w:val="24"/>
        </w:rPr>
        <w:t>Elkheir</w:t>
      </w:r>
      <w:proofErr w:type="spellEnd"/>
      <w:r w:rsidRPr="00785BD2">
        <w:rPr>
          <w:rFonts w:ascii="Calibri" w:hAnsi="Calibri" w:cs="Calibri"/>
          <w:sz w:val="24"/>
        </w:rPr>
        <w:t xml:space="preserve"> N, </w:t>
      </w:r>
      <w:r w:rsidRPr="00785BD2">
        <w:rPr>
          <w:rFonts w:ascii="Calibri" w:hAnsi="Calibri" w:cs="Calibri"/>
          <w:i/>
          <w:iCs/>
          <w:sz w:val="24"/>
        </w:rPr>
        <w:t>et al.</w:t>
      </w:r>
      <w:r w:rsidRPr="00785BD2">
        <w:rPr>
          <w:rFonts w:ascii="Calibri" w:hAnsi="Calibri" w:cs="Calibri"/>
          <w:sz w:val="24"/>
        </w:rPr>
        <w:t xml:space="preserve"> Characterising long COVID: a living systematic review. </w:t>
      </w:r>
      <w:r w:rsidRPr="00785BD2">
        <w:rPr>
          <w:rFonts w:ascii="Calibri" w:hAnsi="Calibri" w:cs="Calibri"/>
          <w:i/>
          <w:iCs/>
          <w:sz w:val="24"/>
        </w:rPr>
        <w:t>BMJ Global Health</w:t>
      </w:r>
      <w:r w:rsidRPr="00785BD2">
        <w:rPr>
          <w:rFonts w:ascii="Calibri" w:hAnsi="Calibri" w:cs="Calibri"/>
          <w:sz w:val="24"/>
        </w:rPr>
        <w:t xml:space="preserve"> 2021; </w:t>
      </w:r>
      <w:r w:rsidRPr="00785BD2">
        <w:rPr>
          <w:rFonts w:ascii="Calibri" w:hAnsi="Calibri" w:cs="Calibri"/>
          <w:b/>
          <w:bCs/>
          <w:sz w:val="24"/>
        </w:rPr>
        <w:t>6</w:t>
      </w:r>
      <w:r w:rsidRPr="00785BD2">
        <w:rPr>
          <w:rFonts w:ascii="Calibri" w:hAnsi="Calibri" w:cs="Calibri"/>
          <w:sz w:val="24"/>
        </w:rPr>
        <w:t>: e005427.</w:t>
      </w:r>
    </w:p>
    <w:p w14:paraId="695B424B" w14:textId="77777777" w:rsidR="00785BD2" w:rsidRPr="00785BD2" w:rsidRDefault="00785BD2" w:rsidP="00785BD2">
      <w:pPr>
        <w:pStyle w:val="Bibliography"/>
        <w:rPr>
          <w:rFonts w:ascii="Calibri" w:hAnsi="Calibri" w:cs="Calibri"/>
          <w:sz w:val="24"/>
        </w:rPr>
      </w:pPr>
      <w:r w:rsidRPr="00785BD2">
        <w:rPr>
          <w:rFonts w:ascii="Calibri" w:hAnsi="Calibri" w:cs="Calibri"/>
          <w:sz w:val="24"/>
        </w:rPr>
        <w:t>8</w:t>
      </w:r>
      <w:r w:rsidRPr="00785BD2">
        <w:rPr>
          <w:rFonts w:ascii="Calibri" w:hAnsi="Calibri" w:cs="Calibri"/>
          <w:sz w:val="24"/>
        </w:rPr>
        <w:tab/>
      </w:r>
      <w:proofErr w:type="spellStart"/>
      <w:r w:rsidRPr="00785BD2">
        <w:rPr>
          <w:rFonts w:ascii="Calibri" w:hAnsi="Calibri" w:cs="Calibri"/>
          <w:sz w:val="24"/>
        </w:rPr>
        <w:t>Munblit</w:t>
      </w:r>
      <w:proofErr w:type="spellEnd"/>
      <w:r w:rsidRPr="00785BD2">
        <w:rPr>
          <w:rFonts w:ascii="Calibri" w:hAnsi="Calibri" w:cs="Calibri"/>
          <w:sz w:val="24"/>
        </w:rPr>
        <w:t xml:space="preserve"> D, O’Hara ME, </w:t>
      </w:r>
      <w:proofErr w:type="spellStart"/>
      <w:r w:rsidRPr="00785BD2">
        <w:rPr>
          <w:rFonts w:ascii="Calibri" w:hAnsi="Calibri" w:cs="Calibri"/>
          <w:sz w:val="24"/>
        </w:rPr>
        <w:t>Akrami</w:t>
      </w:r>
      <w:proofErr w:type="spellEnd"/>
      <w:r w:rsidRPr="00785BD2">
        <w:rPr>
          <w:rFonts w:ascii="Calibri" w:hAnsi="Calibri" w:cs="Calibri"/>
          <w:sz w:val="24"/>
        </w:rPr>
        <w:t xml:space="preserve"> A, </w:t>
      </w:r>
      <w:proofErr w:type="spellStart"/>
      <w:r w:rsidRPr="00785BD2">
        <w:rPr>
          <w:rFonts w:ascii="Calibri" w:hAnsi="Calibri" w:cs="Calibri"/>
          <w:sz w:val="24"/>
        </w:rPr>
        <w:t>Perego</w:t>
      </w:r>
      <w:proofErr w:type="spellEnd"/>
      <w:r w:rsidRPr="00785BD2">
        <w:rPr>
          <w:rFonts w:ascii="Calibri" w:hAnsi="Calibri" w:cs="Calibri"/>
          <w:sz w:val="24"/>
        </w:rPr>
        <w:t xml:space="preserve"> E, </w:t>
      </w:r>
      <w:proofErr w:type="spellStart"/>
      <w:r w:rsidRPr="00785BD2">
        <w:rPr>
          <w:rFonts w:ascii="Calibri" w:hAnsi="Calibri" w:cs="Calibri"/>
          <w:sz w:val="24"/>
        </w:rPr>
        <w:t>Olliaro</w:t>
      </w:r>
      <w:proofErr w:type="spellEnd"/>
      <w:r w:rsidRPr="00785BD2">
        <w:rPr>
          <w:rFonts w:ascii="Calibri" w:hAnsi="Calibri" w:cs="Calibri"/>
          <w:sz w:val="24"/>
        </w:rPr>
        <w:t xml:space="preserve"> P, Needham DM. Long COVID: aiming for a consensus. </w:t>
      </w:r>
      <w:r w:rsidRPr="00785BD2">
        <w:rPr>
          <w:rFonts w:ascii="Calibri" w:hAnsi="Calibri" w:cs="Calibri"/>
          <w:i/>
          <w:iCs/>
          <w:sz w:val="24"/>
        </w:rPr>
        <w:t>The Lancet Respiratory Medicine</w:t>
      </w:r>
      <w:r w:rsidRPr="00785BD2">
        <w:rPr>
          <w:rFonts w:ascii="Calibri" w:hAnsi="Calibri" w:cs="Calibri"/>
          <w:sz w:val="24"/>
        </w:rPr>
        <w:t xml:space="preserve"> 2022; </w:t>
      </w:r>
      <w:r w:rsidRPr="00785BD2">
        <w:rPr>
          <w:rFonts w:ascii="Calibri" w:hAnsi="Calibri" w:cs="Calibri"/>
          <w:b/>
          <w:bCs/>
          <w:sz w:val="24"/>
        </w:rPr>
        <w:t>0</w:t>
      </w:r>
      <w:r w:rsidRPr="00785BD2">
        <w:rPr>
          <w:rFonts w:ascii="Calibri" w:hAnsi="Calibri" w:cs="Calibri"/>
          <w:sz w:val="24"/>
        </w:rPr>
        <w:t>. DOI:10.1016/S2213-2600(22)00135-7.</w:t>
      </w:r>
    </w:p>
    <w:p w14:paraId="6D0B3426" w14:textId="77777777" w:rsidR="00785BD2" w:rsidRPr="00785BD2" w:rsidRDefault="00785BD2" w:rsidP="00785BD2">
      <w:pPr>
        <w:pStyle w:val="Bibliography"/>
        <w:rPr>
          <w:rFonts w:ascii="Calibri" w:hAnsi="Calibri" w:cs="Calibri"/>
          <w:sz w:val="24"/>
        </w:rPr>
      </w:pPr>
      <w:r w:rsidRPr="00785BD2">
        <w:rPr>
          <w:rFonts w:ascii="Calibri" w:hAnsi="Calibri" w:cs="Calibri"/>
          <w:sz w:val="24"/>
        </w:rPr>
        <w:t>9</w:t>
      </w:r>
      <w:r w:rsidRPr="00785BD2">
        <w:rPr>
          <w:rFonts w:ascii="Calibri" w:hAnsi="Calibri" w:cs="Calibri"/>
          <w:sz w:val="24"/>
        </w:rPr>
        <w:tab/>
        <w:t xml:space="preserve">Vassall A, Sweeney S, </w:t>
      </w:r>
      <w:proofErr w:type="spellStart"/>
      <w:r w:rsidRPr="00785BD2">
        <w:rPr>
          <w:rFonts w:ascii="Calibri" w:hAnsi="Calibri" w:cs="Calibri"/>
          <w:sz w:val="24"/>
        </w:rPr>
        <w:t>Barasa</w:t>
      </w:r>
      <w:proofErr w:type="spellEnd"/>
      <w:r w:rsidRPr="00785BD2">
        <w:rPr>
          <w:rFonts w:ascii="Calibri" w:hAnsi="Calibri" w:cs="Calibri"/>
          <w:sz w:val="24"/>
        </w:rPr>
        <w:t xml:space="preserve"> E, </w:t>
      </w:r>
      <w:r w:rsidRPr="00785BD2">
        <w:rPr>
          <w:rFonts w:ascii="Calibri" w:hAnsi="Calibri" w:cs="Calibri"/>
          <w:i/>
          <w:iCs/>
          <w:sz w:val="24"/>
        </w:rPr>
        <w:t>et al.</w:t>
      </w:r>
      <w:r w:rsidRPr="00785BD2">
        <w:rPr>
          <w:rFonts w:ascii="Calibri" w:hAnsi="Calibri" w:cs="Calibri"/>
          <w:sz w:val="24"/>
        </w:rPr>
        <w:t xml:space="preserve"> Integrating economic and health evidence to inform Covid-19 policy in low- and middle- income countries. </w:t>
      </w:r>
      <w:proofErr w:type="spellStart"/>
      <w:r w:rsidRPr="00785BD2">
        <w:rPr>
          <w:rFonts w:ascii="Calibri" w:hAnsi="Calibri" w:cs="Calibri"/>
          <w:i/>
          <w:iCs/>
          <w:sz w:val="24"/>
        </w:rPr>
        <w:t>Wellcome</w:t>
      </w:r>
      <w:proofErr w:type="spellEnd"/>
      <w:r w:rsidRPr="00785BD2">
        <w:rPr>
          <w:rFonts w:ascii="Calibri" w:hAnsi="Calibri" w:cs="Calibri"/>
          <w:i/>
          <w:iCs/>
          <w:sz w:val="24"/>
        </w:rPr>
        <w:t xml:space="preserve"> Open Res</w:t>
      </w:r>
      <w:r w:rsidRPr="00785BD2">
        <w:rPr>
          <w:rFonts w:ascii="Calibri" w:hAnsi="Calibri" w:cs="Calibri"/>
          <w:sz w:val="24"/>
        </w:rPr>
        <w:t xml:space="preserve"> 2020; </w:t>
      </w:r>
      <w:r w:rsidRPr="00785BD2">
        <w:rPr>
          <w:rFonts w:ascii="Calibri" w:hAnsi="Calibri" w:cs="Calibri"/>
          <w:b/>
          <w:bCs/>
          <w:sz w:val="24"/>
        </w:rPr>
        <w:t>5</w:t>
      </w:r>
      <w:r w:rsidRPr="00785BD2">
        <w:rPr>
          <w:rFonts w:ascii="Calibri" w:hAnsi="Calibri" w:cs="Calibri"/>
          <w:sz w:val="24"/>
        </w:rPr>
        <w:t>: 272.</w:t>
      </w:r>
    </w:p>
    <w:p w14:paraId="61DC8E23" w14:textId="77777777" w:rsidR="00785BD2" w:rsidRPr="00785BD2" w:rsidRDefault="00785BD2" w:rsidP="00785BD2">
      <w:pPr>
        <w:pStyle w:val="Bibliography"/>
        <w:rPr>
          <w:rFonts w:ascii="Calibri" w:hAnsi="Calibri" w:cs="Calibri"/>
          <w:sz w:val="24"/>
        </w:rPr>
      </w:pPr>
      <w:r w:rsidRPr="00785BD2">
        <w:rPr>
          <w:rFonts w:ascii="Calibri" w:hAnsi="Calibri" w:cs="Calibri"/>
          <w:sz w:val="24"/>
        </w:rPr>
        <w:t>10</w:t>
      </w:r>
      <w:r w:rsidRPr="00785BD2">
        <w:rPr>
          <w:rFonts w:ascii="Calibri" w:hAnsi="Calibri" w:cs="Calibri"/>
          <w:sz w:val="24"/>
        </w:rPr>
        <w:tab/>
        <w:t xml:space="preserve">Briggs A, Vassall A. Count the cost of disability caused by COVID-19. </w:t>
      </w:r>
      <w:r w:rsidRPr="00785BD2">
        <w:rPr>
          <w:rFonts w:ascii="Calibri" w:hAnsi="Calibri" w:cs="Calibri"/>
          <w:i/>
          <w:iCs/>
          <w:sz w:val="24"/>
        </w:rPr>
        <w:t>Nature</w:t>
      </w:r>
      <w:r w:rsidRPr="00785BD2">
        <w:rPr>
          <w:rFonts w:ascii="Calibri" w:hAnsi="Calibri" w:cs="Calibri"/>
          <w:sz w:val="24"/>
        </w:rPr>
        <w:t xml:space="preserve"> 2021; </w:t>
      </w:r>
      <w:r w:rsidRPr="00785BD2">
        <w:rPr>
          <w:rFonts w:ascii="Calibri" w:hAnsi="Calibri" w:cs="Calibri"/>
          <w:b/>
          <w:bCs/>
          <w:sz w:val="24"/>
        </w:rPr>
        <w:t>593</w:t>
      </w:r>
      <w:r w:rsidRPr="00785BD2">
        <w:rPr>
          <w:rFonts w:ascii="Calibri" w:hAnsi="Calibri" w:cs="Calibri"/>
          <w:sz w:val="24"/>
        </w:rPr>
        <w:t>: 502–5.</w:t>
      </w:r>
    </w:p>
    <w:p w14:paraId="6545CA20" w14:textId="77777777" w:rsidR="00785BD2" w:rsidRPr="00785BD2" w:rsidRDefault="00785BD2" w:rsidP="00785BD2">
      <w:pPr>
        <w:pStyle w:val="Bibliography"/>
        <w:rPr>
          <w:rFonts w:ascii="Calibri" w:hAnsi="Calibri" w:cs="Calibri"/>
          <w:sz w:val="24"/>
        </w:rPr>
      </w:pPr>
      <w:r w:rsidRPr="00785BD2">
        <w:rPr>
          <w:rFonts w:ascii="Calibri" w:hAnsi="Calibri" w:cs="Calibri"/>
          <w:sz w:val="24"/>
        </w:rPr>
        <w:t>11</w:t>
      </w:r>
      <w:r w:rsidRPr="00785BD2">
        <w:rPr>
          <w:rFonts w:ascii="Calibri" w:hAnsi="Calibri" w:cs="Calibri"/>
          <w:sz w:val="24"/>
        </w:rPr>
        <w:tab/>
        <w:t xml:space="preserve">Kenya: WHO Coronavirus Disease (COVID-19) Dashboard </w:t>
      </w:r>
      <w:proofErr w:type="gramStart"/>
      <w:r w:rsidRPr="00785BD2">
        <w:rPr>
          <w:rFonts w:ascii="Calibri" w:hAnsi="Calibri" w:cs="Calibri"/>
          <w:sz w:val="24"/>
        </w:rPr>
        <w:t>With</w:t>
      </w:r>
      <w:proofErr w:type="gramEnd"/>
      <w:r w:rsidRPr="00785BD2">
        <w:rPr>
          <w:rFonts w:ascii="Calibri" w:hAnsi="Calibri" w:cs="Calibri"/>
          <w:sz w:val="24"/>
        </w:rPr>
        <w:t xml:space="preserve"> Vaccination Data. https://covid19.who.int (accessed May 13, 2022).</w:t>
      </w:r>
    </w:p>
    <w:p w14:paraId="41681FAB" w14:textId="77777777" w:rsidR="00785BD2" w:rsidRPr="00785BD2" w:rsidRDefault="00785BD2" w:rsidP="00785BD2">
      <w:pPr>
        <w:pStyle w:val="Bibliography"/>
        <w:rPr>
          <w:rFonts w:ascii="Calibri" w:hAnsi="Calibri" w:cs="Calibri"/>
          <w:sz w:val="24"/>
        </w:rPr>
      </w:pPr>
      <w:r w:rsidRPr="00785BD2">
        <w:rPr>
          <w:rFonts w:ascii="Calibri" w:hAnsi="Calibri" w:cs="Calibri"/>
          <w:sz w:val="24"/>
        </w:rPr>
        <w:t>12</w:t>
      </w:r>
      <w:r w:rsidRPr="00785BD2">
        <w:rPr>
          <w:rFonts w:ascii="Calibri" w:hAnsi="Calibri" w:cs="Calibri"/>
          <w:sz w:val="24"/>
        </w:rPr>
        <w:tab/>
        <w:t>Kenya M of H. Kenya Health policy 2014 to 2030. http://publications.universalhealth2030.org/ref/d6e32af10e5c515876d34f801774aa9a (accessed July 5, 2022).</w:t>
      </w:r>
    </w:p>
    <w:p w14:paraId="5293A821" w14:textId="77777777" w:rsidR="00785BD2" w:rsidRPr="00785BD2" w:rsidRDefault="00785BD2" w:rsidP="00785BD2">
      <w:pPr>
        <w:pStyle w:val="Bibliography"/>
        <w:rPr>
          <w:rFonts w:ascii="Calibri" w:hAnsi="Calibri" w:cs="Calibri"/>
          <w:sz w:val="24"/>
        </w:rPr>
      </w:pPr>
      <w:r w:rsidRPr="00785BD2">
        <w:rPr>
          <w:rFonts w:ascii="Calibri" w:hAnsi="Calibri" w:cs="Calibri"/>
          <w:sz w:val="24"/>
        </w:rPr>
        <w:t>13</w:t>
      </w:r>
      <w:r w:rsidRPr="00785BD2">
        <w:rPr>
          <w:rFonts w:ascii="Calibri" w:hAnsi="Calibri" w:cs="Calibri"/>
          <w:sz w:val="24"/>
        </w:rPr>
        <w:tab/>
      </w:r>
      <w:proofErr w:type="spellStart"/>
      <w:r w:rsidRPr="00785BD2">
        <w:rPr>
          <w:rFonts w:ascii="Calibri" w:hAnsi="Calibri" w:cs="Calibri"/>
          <w:sz w:val="24"/>
        </w:rPr>
        <w:t>Mbau</w:t>
      </w:r>
      <w:proofErr w:type="spellEnd"/>
      <w:r w:rsidRPr="00785BD2">
        <w:rPr>
          <w:rFonts w:ascii="Calibri" w:hAnsi="Calibri" w:cs="Calibri"/>
          <w:sz w:val="24"/>
        </w:rPr>
        <w:t xml:space="preserve"> R, </w:t>
      </w:r>
      <w:proofErr w:type="spellStart"/>
      <w:r w:rsidRPr="00785BD2">
        <w:rPr>
          <w:rFonts w:ascii="Calibri" w:hAnsi="Calibri" w:cs="Calibri"/>
          <w:sz w:val="24"/>
        </w:rPr>
        <w:t>Kabia</w:t>
      </w:r>
      <w:proofErr w:type="spellEnd"/>
      <w:r w:rsidRPr="00785BD2">
        <w:rPr>
          <w:rFonts w:ascii="Calibri" w:hAnsi="Calibri" w:cs="Calibri"/>
          <w:sz w:val="24"/>
        </w:rPr>
        <w:t xml:space="preserve"> E, Honda A, Hanson K, </w:t>
      </w:r>
      <w:proofErr w:type="spellStart"/>
      <w:r w:rsidRPr="00785BD2">
        <w:rPr>
          <w:rFonts w:ascii="Calibri" w:hAnsi="Calibri" w:cs="Calibri"/>
          <w:sz w:val="24"/>
        </w:rPr>
        <w:t>Barasa</w:t>
      </w:r>
      <w:proofErr w:type="spellEnd"/>
      <w:r w:rsidRPr="00785BD2">
        <w:rPr>
          <w:rFonts w:ascii="Calibri" w:hAnsi="Calibri" w:cs="Calibri"/>
          <w:sz w:val="24"/>
        </w:rPr>
        <w:t xml:space="preserve"> E. Examining purchasing reforms towards universal health coverage by the National Hospital Insurance Fund in Kenya. </w:t>
      </w:r>
      <w:r w:rsidRPr="00785BD2">
        <w:rPr>
          <w:rFonts w:ascii="Calibri" w:hAnsi="Calibri" w:cs="Calibri"/>
          <w:i/>
          <w:iCs/>
          <w:sz w:val="24"/>
        </w:rPr>
        <w:t>International Journal for Equity in Health</w:t>
      </w:r>
      <w:r w:rsidRPr="00785BD2">
        <w:rPr>
          <w:rFonts w:ascii="Calibri" w:hAnsi="Calibri" w:cs="Calibri"/>
          <w:sz w:val="24"/>
        </w:rPr>
        <w:t xml:space="preserve"> 2020; </w:t>
      </w:r>
      <w:r w:rsidRPr="00785BD2">
        <w:rPr>
          <w:rFonts w:ascii="Calibri" w:hAnsi="Calibri" w:cs="Calibri"/>
          <w:b/>
          <w:bCs/>
          <w:sz w:val="24"/>
        </w:rPr>
        <w:t>19</w:t>
      </w:r>
      <w:r w:rsidRPr="00785BD2">
        <w:rPr>
          <w:rFonts w:ascii="Calibri" w:hAnsi="Calibri" w:cs="Calibri"/>
          <w:sz w:val="24"/>
        </w:rPr>
        <w:t>: 19.</w:t>
      </w:r>
    </w:p>
    <w:p w14:paraId="05A5DEFF" w14:textId="77777777" w:rsidR="00785BD2" w:rsidRPr="00785BD2" w:rsidRDefault="00785BD2" w:rsidP="00785BD2">
      <w:pPr>
        <w:pStyle w:val="Bibliography"/>
        <w:rPr>
          <w:rFonts w:ascii="Calibri" w:hAnsi="Calibri" w:cs="Calibri"/>
          <w:sz w:val="24"/>
        </w:rPr>
      </w:pPr>
      <w:r w:rsidRPr="00785BD2">
        <w:rPr>
          <w:rFonts w:ascii="Calibri" w:hAnsi="Calibri" w:cs="Calibri"/>
          <w:sz w:val="24"/>
        </w:rPr>
        <w:t>14</w:t>
      </w:r>
      <w:r w:rsidRPr="00785BD2">
        <w:rPr>
          <w:rFonts w:ascii="Calibri" w:hAnsi="Calibri" w:cs="Calibri"/>
          <w:sz w:val="24"/>
        </w:rPr>
        <w:tab/>
      </w:r>
      <w:proofErr w:type="spellStart"/>
      <w:r w:rsidRPr="00785BD2">
        <w:rPr>
          <w:rFonts w:ascii="Calibri" w:hAnsi="Calibri" w:cs="Calibri"/>
          <w:sz w:val="24"/>
        </w:rPr>
        <w:t>Kazungu</w:t>
      </w:r>
      <w:proofErr w:type="spellEnd"/>
      <w:r w:rsidRPr="00785BD2">
        <w:rPr>
          <w:rFonts w:ascii="Calibri" w:hAnsi="Calibri" w:cs="Calibri"/>
          <w:sz w:val="24"/>
        </w:rPr>
        <w:t xml:space="preserve"> JS, </w:t>
      </w:r>
      <w:proofErr w:type="spellStart"/>
      <w:r w:rsidRPr="00785BD2">
        <w:rPr>
          <w:rFonts w:ascii="Calibri" w:hAnsi="Calibri" w:cs="Calibri"/>
          <w:sz w:val="24"/>
        </w:rPr>
        <w:t>Barasa</w:t>
      </w:r>
      <w:proofErr w:type="spellEnd"/>
      <w:r w:rsidRPr="00785BD2">
        <w:rPr>
          <w:rFonts w:ascii="Calibri" w:hAnsi="Calibri" w:cs="Calibri"/>
          <w:sz w:val="24"/>
        </w:rPr>
        <w:t xml:space="preserve"> EW. Examining levels, </w:t>
      </w:r>
      <w:proofErr w:type="gramStart"/>
      <w:r w:rsidRPr="00785BD2">
        <w:rPr>
          <w:rFonts w:ascii="Calibri" w:hAnsi="Calibri" w:cs="Calibri"/>
          <w:sz w:val="24"/>
        </w:rPr>
        <w:t>distribution</w:t>
      </w:r>
      <w:proofErr w:type="gramEnd"/>
      <w:r w:rsidRPr="00785BD2">
        <w:rPr>
          <w:rFonts w:ascii="Calibri" w:hAnsi="Calibri" w:cs="Calibri"/>
          <w:sz w:val="24"/>
        </w:rPr>
        <w:t xml:space="preserve"> and correlates of health insurance coverage in Kenya. </w:t>
      </w:r>
      <w:r w:rsidRPr="00785BD2">
        <w:rPr>
          <w:rFonts w:ascii="Calibri" w:hAnsi="Calibri" w:cs="Calibri"/>
          <w:i/>
          <w:iCs/>
          <w:sz w:val="24"/>
        </w:rPr>
        <w:t>Trop Med Int Health</w:t>
      </w:r>
      <w:r w:rsidRPr="00785BD2">
        <w:rPr>
          <w:rFonts w:ascii="Calibri" w:hAnsi="Calibri" w:cs="Calibri"/>
          <w:sz w:val="24"/>
        </w:rPr>
        <w:t xml:space="preserve"> 2017; </w:t>
      </w:r>
      <w:r w:rsidRPr="00785BD2">
        <w:rPr>
          <w:rFonts w:ascii="Calibri" w:hAnsi="Calibri" w:cs="Calibri"/>
          <w:b/>
          <w:bCs/>
          <w:sz w:val="24"/>
        </w:rPr>
        <w:t>22</w:t>
      </w:r>
      <w:r w:rsidRPr="00785BD2">
        <w:rPr>
          <w:rFonts w:ascii="Calibri" w:hAnsi="Calibri" w:cs="Calibri"/>
          <w:sz w:val="24"/>
        </w:rPr>
        <w:t>: 1175–85.</w:t>
      </w:r>
    </w:p>
    <w:p w14:paraId="47688A6B" w14:textId="77777777" w:rsidR="00785BD2" w:rsidRPr="00785BD2" w:rsidRDefault="00785BD2" w:rsidP="00785BD2">
      <w:pPr>
        <w:pStyle w:val="Bibliography"/>
        <w:rPr>
          <w:rFonts w:ascii="Calibri" w:hAnsi="Calibri" w:cs="Calibri"/>
          <w:sz w:val="24"/>
        </w:rPr>
      </w:pPr>
      <w:r w:rsidRPr="00785BD2">
        <w:rPr>
          <w:rFonts w:ascii="Calibri" w:hAnsi="Calibri" w:cs="Calibri"/>
          <w:sz w:val="24"/>
        </w:rPr>
        <w:lastRenderedPageBreak/>
        <w:t>15</w:t>
      </w:r>
      <w:r w:rsidRPr="00785BD2">
        <w:rPr>
          <w:rFonts w:ascii="Calibri" w:hAnsi="Calibri" w:cs="Calibri"/>
          <w:sz w:val="24"/>
        </w:rPr>
        <w:tab/>
      </w:r>
      <w:proofErr w:type="spellStart"/>
      <w:r w:rsidRPr="00785BD2">
        <w:rPr>
          <w:rFonts w:ascii="Calibri" w:hAnsi="Calibri" w:cs="Calibri"/>
          <w:sz w:val="24"/>
        </w:rPr>
        <w:t>Chuma</w:t>
      </w:r>
      <w:proofErr w:type="spellEnd"/>
      <w:r w:rsidRPr="00785BD2">
        <w:rPr>
          <w:rFonts w:ascii="Calibri" w:hAnsi="Calibri" w:cs="Calibri"/>
          <w:sz w:val="24"/>
        </w:rPr>
        <w:t xml:space="preserve"> J, </w:t>
      </w:r>
      <w:proofErr w:type="spellStart"/>
      <w:r w:rsidRPr="00785BD2">
        <w:rPr>
          <w:rFonts w:ascii="Calibri" w:hAnsi="Calibri" w:cs="Calibri"/>
          <w:sz w:val="24"/>
        </w:rPr>
        <w:t>Maina</w:t>
      </w:r>
      <w:proofErr w:type="spellEnd"/>
      <w:r w:rsidRPr="00785BD2">
        <w:rPr>
          <w:rFonts w:ascii="Calibri" w:hAnsi="Calibri" w:cs="Calibri"/>
          <w:sz w:val="24"/>
        </w:rPr>
        <w:t xml:space="preserve"> T. Catastrophic health care spending and impoverishment in Kenya. </w:t>
      </w:r>
      <w:r w:rsidRPr="00785BD2">
        <w:rPr>
          <w:rFonts w:ascii="Calibri" w:hAnsi="Calibri" w:cs="Calibri"/>
          <w:i/>
          <w:iCs/>
          <w:sz w:val="24"/>
        </w:rPr>
        <w:t>BMC Health Serv Res</w:t>
      </w:r>
      <w:r w:rsidRPr="00785BD2">
        <w:rPr>
          <w:rFonts w:ascii="Calibri" w:hAnsi="Calibri" w:cs="Calibri"/>
          <w:sz w:val="24"/>
        </w:rPr>
        <w:t xml:space="preserve"> 2012; </w:t>
      </w:r>
      <w:r w:rsidRPr="00785BD2">
        <w:rPr>
          <w:rFonts w:ascii="Calibri" w:hAnsi="Calibri" w:cs="Calibri"/>
          <w:b/>
          <w:bCs/>
          <w:sz w:val="24"/>
        </w:rPr>
        <w:t>12</w:t>
      </w:r>
      <w:r w:rsidRPr="00785BD2">
        <w:rPr>
          <w:rFonts w:ascii="Calibri" w:hAnsi="Calibri" w:cs="Calibri"/>
          <w:sz w:val="24"/>
        </w:rPr>
        <w:t>: 413.</w:t>
      </w:r>
    </w:p>
    <w:p w14:paraId="1093040A" w14:textId="77777777" w:rsidR="00785BD2" w:rsidRPr="00785BD2" w:rsidRDefault="00785BD2" w:rsidP="00785BD2">
      <w:pPr>
        <w:pStyle w:val="Bibliography"/>
        <w:rPr>
          <w:rFonts w:ascii="Calibri" w:hAnsi="Calibri" w:cs="Calibri"/>
          <w:sz w:val="24"/>
        </w:rPr>
      </w:pPr>
      <w:r w:rsidRPr="00785BD2">
        <w:rPr>
          <w:rFonts w:ascii="Calibri" w:hAnsi="Calibri" w:cs="Calibri"/>
          <w:sz w:val="24"/>
        </w:rPr>
        <w:t>16</w:t>
      </w:r>
      <w:r w:rsidRPr="00785BD2">
        <w:rPr>
          <w:rFonts w:ascii="Calibri" w:hAnsi="Calibri" w:cs="Calibri"/>
          <w:sz w:val="24"/>
        </w:rPr>
        <w:tab/>
      </w:r>
      <w:proofErr w:type="spellStart"/>
      <w:r w:rsidRPr="00785BD2">
        <w:rPr>
          <w:rFonts w:ascii="Calibri" w:hAnsi="Calibri" w:cs="Calibri"/>
          <w:sz w:val="24"/>
        </w:rPr>
        <w:t>Ouma</w:t>
      </w:r>
      <w:proofErr w:type="spellEnd"/>
      <w:r w:rsidRPr="00785BD2">
        <w:rPr>
          <w:rFonts w:ascii="Calibri" w:hAnsi="Calibri" w:cs="Calibri"/>
          <w:sz w:val="24"/>
        </w:rPr>
        <w:t xml:space="preserve"> PN, Masai AN, </w:t>
      </w:r>
      <w:proofErr w:type="spellStart"/>
      <w:r w:rsidRPr="00785BD2">
        <w:rPr>
          <w:rFonts w:ascii="Calibri" w:hAnsi="Calibri" w:cs="Calibri"/>
          <w:sz w:val="24"/>
        </w:rPr>
        <w:t>Nyadera</w:t>
      </w:r>
      <w:proofErr w:type="spellEnd"/>
      <w:r w:rsidRPr="00785BD2">
        <w:rPr>
          <w:rFonts w:ascii="Calibri" w:hAnsi="Calibri" w:cs="Calibri"/>
          <w:sz w:val="24"/>
        </w:rPr>
        <w:t xml:space="preserve"> IN. Health coverage and what Kenya can learn from the COVID-19 pandemic. </w:t>
      </w:r>
      <w:r w:rsidRPr="00785BD2">
        <w:rPr>
          <w:rFonts w:ascii="Calibri" w:hAnsi="Calibri" w:cs="Calibri"/>
          <w:i/>
          <w:iCs/>
          <w:sz w:val="24"/>
        </w:rPr>
        <w:t>J Glob Health</w:t>
      </w:r>
      <w:r w:rsidRPr="00785BD2">
        <w:rPr>
          <w:rFonts w:ascii="Calibri" w:hAnsi="Calibri" w:cs="Calibri"/>
          <w:sz w:val="24"/>
        </w:rPr>
        <w:t xml:space="preserve">; </w:t>
      </w:r>
      <w:r w:rsidRPr="00785BD2">
        <w:rPr>
          <w:rFonts w:ascii="Calibri" w:hAnsi="Calibri" w:cs="Calibri"/>
          <w:b/>
          <w:bCs/>
          <w:sz w:val="24"/>
        </w:rPr>
        <w:t>10</w:t>
      </w:r>
      <w:r w:rsidRPr="00785BD2">
        <w:rPr>
          <w:rFonts w:ascii="Calibri" w:hAnsi="Calibri" w:cs="Calibri"/>
          <w:sz w:val="24"/>
        </w:rPr>
        <w:t>: 020362.</w:t>
      </w:r>
    </w:p>
    <w:p w14:paraId="730EACF3" w14:textId="77777777" w:rsidR="00785BD2" w:rsidRPr="00785BD2" w:rsidRDefault="00785BD2" w:rsidP="00785BD2">
      <w:pPr>
        <w:pStyle w:val="Bibliography"/>
        <w:rPr>
          <w:rFonts w:ascii="Calibri" w:hAnsi="Calibri" w:cs="Calibri"/>
          <w:sz w:val="24"/>
        </w:rPr>
      </w:pPr>
      <w:r w:rsidRPr="00785BD2">
        <w:rPr>
          <w:rFonts w:ascii="Calibri" w:hAnsi="Calibri" w:cs="Calibri"/>
          <w:sz w:val="24"/>
        </w:rPr>
        <w:t>17</w:t>
      </w:r>
      <w:r w:rsidRPr="00785BD2">
        <w:rPr>
          <w:rFonts w:ascii="Calibri" w:hAnsi="Calibri" w:cs="Calibri"/>
          <w:sz w:val="24"/>
        </w:rPr>
        <w:tab/>
      </w:r>
      <w:proofErr w:type="spellStart"/>
      <w:r w:rsidRPr="00785BD2">
        <w:rPr>
          <w:rFonts w:ascii="Calibri" w:hAnsi="Calibri" w:cs="Calibri"/>
          <w:sz w:val="24"/>
        </w:rPr>
        <w:t>BurdenEU</w:t>
      </w:r>
      <w:proofErr w:type="spellEnd"/>
      <w:r w:rsidRPr="00785BD2">
        <w:rPr>
          <w:rFonts w:ascii="Calibri" w:hAnsi="Calibri" w:cs="Calibri"/>
          <w:sz w:val="24"/>
        </w:rPr>
        <w:t>. Burden of disease of COVID-19. PROTOCOL FOR COUNTRY STUDIES COVID-19. European Burden of Disease Network. https://www.burden-eu.com/index.php?option=com_content&amp;view=article&amp;id=33:covid-19&amp;catid=17 (accessed June 15, 2022).</w:t>
      </w:r>
    </w:p>
    <w:p w14:paraId="150DE4C2" w14:textId="77777777" w:rsidR="00785BD2" w:rsidRPr="00785BD2" w:rsidRDefault="00785BD2" w:rsidP="00785BD2">
      <w:pPr>
        <w:pStyle w:val="Bibliography"/>
        <w:rPr>
          <w:rFonts w:ascii="Calibri" w:hAnsi="Calibri" w:cs="Calibri"/>
          <w:sz w:val="24"/>
        </w:rPr>
      </w:pPr>
      <w:r w:rsidRPr="00785BD2">
        <w:rPr>
          <w:rFonts w:ascii="Calibri" w:hAnsi="Calibri" w:cs="Calibri"/>
          <w:sz w:val="24"/>
        </w:rPr>
        <w:t>18</w:t>
      </w:r>
      <w:r w:rsidRPr="00785BD2">
        <w:rPr>
          <w:rFonts w:ascii="Calibri" w:hAnsi="Calibri" w:cs="Calibri"/>
          <w:sz w:val="24"/>
        </w:rPr>
        <w:tab/>
        <w:t xml:space="preserve">Angeles MR, Wanni </w:t>
      </w:r>
      <w:proofErr w:type="spellStart"/>
      <w:r w:rsidRPr="00785BD2">
        <w:rPr>
          <w:rFonts w:ascii="Calibri" w:hAnsi="Calibri" w:cs="Calibri"/>
          <w:sz w:val="24"/>
        </w:rPr>
        <w:t>Arachchige</w:t>
      </w:r>
      <w:proofErr w:type="spellEnd"/>
      <w:r w:rsidRPr="00785BD2">
        <w:rPr>
          <w:rFonts w:ascii="Calibri" w:hAnsi="Calibri" w:cs="Calibri"/>
          <w:sz w:val="24"/>
        </w:rPr>
        <w:t xml:space="preserve"> Dona S, Nguyen HD, Le LK-D, </w:t>
      </w:r>
      <w:proofErr w:type="spellStart"/>
      <w:r w:rsidRPr="00785BD2">
        <w:rPr>
          <w:rFonts w:ascii="Calibri" w:hAnsi="Calibri" w:cs="Calibri"/>
          <w:sz w:val="24"/>
        </w:rPr>
        <w:t>Hensher</w:t>
      </w:r>
      <w:proofErr w:type="spellEnd"/>
      <w:r w:rsidRPr="00785BD2">
        <w:rPr>
          <w:rFonts w:ascii="Calibri" w:hAnsi="Calibri" w:cs="Calibri"/>
          <w:sz w:val="24"/>
        </w:rPr>
        <w:t xml:space="preserve"> M. Modelling the potential acute and post-acute burden of COVID-19 under the Australian border re-opening plan. </w:t>
      </w:r>
      <w:r w:rsidRPr="00785BD2">
        <w:rPr>
          <w:rFonts w:ascii="Calibri" w:hAnsi="Calibri" w:cs="Calibri"/>
          <w:i/>
          <w:iCs/>
          <w:sz w:val="24"/>
        </w:rPr>
        <w:t>BMC Public Health</w:t>
      </w:r>
      <w:r w:rsidRPr="00785BD2">
        <w:rPr>
          <w:rFonts w:ascii="Calibri" w:hAnsi="Calibri" w:cs="Calibri"/>
          <w:sz w:val="24"/>
        </w:rPr>
        <w:t xml:space="preserve"> 2022; </w:t>
      </w:r>
      <w:r w:rsidRPr="00785BD2">
        <w:rPr>
          <w:rFonts w:ascii="Calibri" w:hAnsi="Calibri" w:cs="Calibri"/>
          <w:b/>
          <w:bCs/>
          <w:sz w:val="24"/>
        </w:rPr>
        <w:t>22</w:t>
      </w:r>
      <w:r w:rsidRPr="00785BD2">
        <w:rPr>
          <w:rFonts w:ascii="Calibri" w:hAnsi="Calibri" w:cs="Calibri"/>
          <w:sz w:val="24"/>
        </w:rPr>
        <w:t>: 757.</w:t>
      </w:r>
    </w:p>
    <w:p w14:paraId="510DB154" w14:textId="77777777" w:rsidR="00785BD2" w:rsidRPr="00785BD2" w:rsidRDefault="00785BD2" w:rsidP="00785BD2">
      <w:pPr>
        <w:pStyle w:val="Bibliography"/>
        <w:rPr>
          <w:rFonts w:ascii="Calibri" w:hAnsi="Calibri" w:cs="Calibri"/>
          <w:sz w:val="24"/>
        </w:rPr>
      </w:pPr>
      <w:r w:rsidRPr="00785BD2">
        <w:rPr>
          <w:rFonts w:ascii="Calibri" w:hAnsi="Calibri" w:cs="Calibri"/>
          <w:sz w:val="24"/>
        </w:rPr>
        <w:t>19</w:t>
      </w:r>
      <w:r w:rsidRPr="00785BD2">
        <w:rPr>
          <w:rFonts w:ascii="Calibri" w:hAnsi="Calibri" w:cs="Calibri"/>
          <w:sz w:val="24"/>
        </w:rPr>
        <w:tab/>
        <w:t>NICE. COVID-19 rapid guideline: managing the long-term effects of COVID-19. 2022 https://www.nice.org.uk/guidance/ng188/resources/covid19-rapid-guideline-managing-the-longterm-effects-of-covid19-pdf-51035515742 (accessed June 15, 2022).</w:t>
      </w:r>
    </w:p>
    <w:p w14:paraId="1558CEF7" w14:textId="77777777" w:rsidR="00785BD2" w:rsidRPr="00785BD2" w:rsidRDefault="00785BD2" w:rsidP="00785BD2">
      <w:pPr>
        <w:pStyle w:val="Bibliography"/>
        <w:rPr>
          <w:rFonts w:ascii="Calibri" w:hAnsi="Calibri" w:cs="Calibri"/>
          <w:sz w:val="24"/>
        </w:rPr>
      </w:pPr>
      <w:r w:rsidRPr="00785BD2">
        <w:rPr>
          <w:rFonts w:ascii="Calibri" w:hAnsi="Calibri" w:cs="Calibri"/>
          <w:sz w:val="24"/>
        </w:rPr>
        <w:t>20</w:t>
      </w:r>
      <w:r w:rsidRPr="00785BD2">
        <w:rPr>
          <w:rFonts w:ascii="Calibri" w:hAnsi="Calibri" w:cs="Calibri"/>
          <w:sz w:val="24"/>
        </w:rPr>
        <w:tab/>
        <w:t>GUIDELINES ON MANAGEMENT OF COVID-19 IN KENYA. 2021.</w:t>
      </w:r>
    </w:p>
    <w:p w14:paraId="0B089F58" w14:textId="77777777" w:rsidR="00785BD2" w:rsidRPr="00785BD2" w:rsidRDefault="00785BD2" w:rsidP="00785BD2">
      <w:pPr>
        <w:pStyle w:val="Bibliography"/>
        <w:rPr>
          <w:rFonts w:ascii="Calibri" w:hAnsi="Calibri" w:cs="Calibri"/>
          <w:sz w:val="24"/>
        </w:rPr>
      </w:pPr>
      <w:r w:rsidRPr="00785BD2">
        <w:rPr>
          <w:rFonts w:ascii="Calibri" w:hAnsi="Calibri" w:cs="Calibri"/>
          <w:sz w:val="24"/>
        </w:rPr>
        <w:t>21</w:t>
      </w:r>
      <w:r w:rsidRPr="00785BD2">
        <w:rPr>
          <w:rFonts w:ascii="Calibri" w:hAnsi="Calibri" w:cs="Calibri"/>
          <w:sz w:val="24"/>
        </w:rPr>
        <w:tab/>
      </w:r>
      <w:proofErr w:type="spellStart"/>
      <w:r w:rsidRPr="00785BD2">
        <w:rPr>
          <w:rFonts w:ascii="Calibri" w:hAnsi="Calibri" w:cs="Calibri"/>
          <w:sz w:val="24"/>
        </w:rPr>
        <w:t>Mutubuki</w:t>
      </w:r>
      <w:proofErr w:type="spellEnd"/>
      <w:r w:rsidRPr="00785BD2">
        <w:rPr>
          <w:rFonts w:ascii="Calibri" w:hAnsi="Calibri" w:cs="Calibri"/>
          <w:sz w:val="24"/>
        </w:rPr>
        <w:t xml:space="preserve"> EN, Maaden T van der, Leung KY, </w:t>
      </w:r>
      <w:r w:rsidRPr="00785BD2">
        <w:rPr>
          <w:rFonts w:ascii="Calibri" w:hAnsi="Calibri" w:cs="Calibri"/>
          <w:i/>
          <w:iCs/>
          <w:sz w:val="24"/>
        </w:rPr>
        <w:t>et al.</w:t>
      </w:r>
      <w:r w:rsidRPr="00785BD2">
        <w:rPr>
          <w:rFonts w:ascii="Calibri" w:hAnsi="Calibri" w:cs="Calibri"/>
          <w:sz w:val="24"/>
        </w:rPr>
        <w:t xml:space="preserve"> Prevalence and determinants of persistent symptoms after infection with SARS-CoV-2: Protocol for an observational cohort study (</w:t>
      </w:r>
      <w:proofErr w:type="spellStart"/>
      <w:r w:rsidRPr="00785BD2">
        <w:rPr>
          <w:rFonts w:ascii="Calibri" w:hAnsi="Calibri" w:cs="Calibri"/>
          <w:sz w:val="24"/>
        </w:rPr>
        <w:t>LongCOVID</w:t>
      </w:r>
      <w:proofErr w:type="spellEnd"/>
      <w:r w:rsidRPr="00785BD2">
        <w:rPr>
          <w:rFonts w:ascii="Calibri" w:hAnsi="Calibri" w:cs="Calibri"/>
          <w:sz w:val="24"/>
        </w:rPr>
        <w:t>-study). 2022</w:t>
      </w:r>
      <w:proofErr w:type="gramStart"/>
      <w:r w:rsidRPr="00785BD2">
        <w:rPr>
          <w:rFonts w:ascii="Calibri" w:hAnsi="Calibri" w:cs="Calibri"/>
          <w:sz w:val="24"/>
        </w:rPr>
        <w:t>; :</w:t>
      </w:r>
      <w:proofErr w:type="gramEnd"/>
      <w:r w:rsidRPr="00785BD2">
        <w:rPr>
          <w:rFonts w:ascii="Calibri" w:hAnsi="Calibri" w:cs="Calibri"/>
          <w:sz w:val="24"/>
        </w:rPr>
        <w:t xml:space="preserve"> 2022.01.10.22269009.</w:t>
      </w:r>
    </w:p>
    <w:p w14:paraId="64D59CA1" w14:textId="77777777" w:rsidR="00785BD2" w:rsidRPr="00785BD2" w:rsidRDefault="00785BD2" w:rsidP="00785BD2">
      <w:pPr>
        <w:pStyle w:val="Bibliography"/>
        <w:rPr>
          <w:rFonts w:ascii="Calibri" w:hAnsi="Calibri" w:cs="Calibri"/>
          <w:sz w:val="24"/>
        </w:rPr>
      </w:pPr>
      <w:r w:rsidRPr="00785BD2">
        <w:rPr>
          <w:rFonts w:ascii="Calibri" w:hAnsi="Calibri" w:cs="Calibri"/>
          <w:sz w:val="24"/>
        </w:rPr>
        <w:t>22</w:t>
      </w:r>
      <w:r w:rsidRPr="00785BD2">
        <w:rPr>
          <w:rFonts w:ascii="Calibri" w:hAnsi="Calibri" w:cs="Calibri"/>
          <w:sz w:val="24"/>
        </w:rPr>
        <w:tab/>
        <w:t xml:space="preserve">Maaden T van der, </w:t>
      </w:r>
      <w:proofErr w:type="spellStart"/>
      <w:r w:rsidRPr="00785BD2">
        <w:rPr>
          <w:rFonts w:ascii="Calibri" w:hAnsi="Calibri" w:cs="Calibri"/>
          <w:sz w:val="24"/>
        </w:rPr>
        <w:t>Mutubuki</w:t>
      </w:r>
      <w:proofErr w:type="spellEnd"/>
      <w:r w:rsidRPr="00785BD2">
        <w:rPr>
          <w:rFonts w:ascii="Calibri" w:hAnsi="Calibri" w:cs="Calibri"/>
          <w:sz w:val="24"/>
        </w:rPr>
        <w:t xml:space="preserve"> EN, Bruijn S de, </w:t>
      </w:r>
      <w:r w:rsidRPr="00785BD2">
        <w:rPr>
          <w:rFonts w:ascii="Calibri" w:hAnsi="Calibri" w:cs="Calibri"/>
          <w:i/>
          <w:iCs/>
          <w:sz w:val="24"/>
        </w:rPr>
        <w:t>et al.</w:t>
      </w:r>
      <w:r w:rsidRPr="00785BD2">
        <w:rPr>
          <w:rFonts w:ascii="Calibri" w:hAnsi="Calibri" w:cs="Calibri"/>
          <w:sz w:val="24"/>
        </w:rPr>
        <w:t xml:space="preserve"> Prevalence and severity of symptoms 3 months after infection with SARS-CoV-2 compared to test-negative and population controls in the Netherlands. 2022</w:t>
      </w:r>
      <w:proofErr w:type="gramStart"/>
      <w:r w:rsidRPr="00785BD2">
        <w:rPr>
          <w:rFonts w:ascii="Calibri" w:hAnsi="Calibri" w:cs="Calibri"/>
          <w:sz w:val="24"/>
        </w:rPr>
        <w:t>; :</w:t>
      </w:r>
      <w:proofErr w:type="gramEnd"/>
      <w:r w:rsidRPr="00785BD2">
        <w:rPr>
          <w:rFonts w:ascii="Calibri" w:hAnsi="Calibri" w:cs="Calibri"/>
          <w:sz w:val="24"/>
        </w:rPr>
        <w:t xml:space="preserve"> 2022.06.15.22276439.</w:t>
      </w:r>
    </w:p>
    <w:p w14:paraId="71E6A606" w14:textId="77777777" w:rsidR="00785BD2" w:rsidRPr="00785BD2" w:rsidRDefault="00785BD2" w:rsidP="00785BD2">
      <w:pPr>
        <w:pStyle w:val="Bibliography"/>
        <w:rPr>
          <w:rFonts w:ascii="Calibri" w:hAnsi="Calibri" w:cs="Calibri"/>
          <w:sz w:val="24"/>
        </w:rPr>
      </w:pPr>
      <w:r w:rsidRPr="00785BD2">
        <w:rPr>
          <w:rFonts w:ascii="Calibri" w:hAnsi="Calibri" w:cs="Calibri"/>
          <w:sz w:val="24"/>
        </w:rPr>
        <w:t>23</w:t>
      </w:r>
      <w:r w:rsidRPr="00785BD2">
        <w:rPr>
          <w:rFonts w:ascii="Calibri" w:hAnsi="Calibri" w:cs="Calibri"/>
          <w:sz w:val="24"/>
        </w:rPr>
        <w:tab/>
        <w:t xml:space="preserve">Muchiri SK, Muthee R, </w:t>
      </w:r>
      <w:proofErr w:type="spellStart"/>
      <w:r w:rsidRPr="00785BD2">
        <w:rPr>
          <w:rFonts w:ascii="Calibri" w:hAnsi="Calibri" w:cs="Calibri"/>
          <w:sz w:val="24"/>
        </w:rPr>
        <w:t>Kiarie</w:t>
      </w:r>
      <w:proofErr w:type="spellEnd"/>
      <w:r w:rsidRPr="00785BD2">
        <w:rPr>
          <w:rFonts w:ascii="Calibri" w:hAnsi="Calibri" w:cs="Calibri"/>
          <w:sz w:val="24"/>
        </w:rPr>
        <w:t xml:space="preserve"> H, </w:t>
      </w:r>
      <w:r w:rsidRPr="00785BD2">
        <w:rPr>
          <w:rFonts w:ascii="Calibri" w:hAnsi="Calibri" w:cs="Calibri"/>
          <w:i/>
          <w:iCs/>
          <w:sz w:val="24"/>
        </w:rPr>
        <w:t>et al.</w:t>
      </w:r>
      <w:r w:rsidRPr="00785BD2">
        <w:rPr>
          <w:rFonts w:ascii="Calibri" w:hAnsi="Calibri" w:cs="Calibri"/>
          <w:sz w:val="24"/>
        </w:rPr>
        <w:t xml:space="preserve"> Unmet need for COVID-19 vaccination coverage in Kenya. </w:t>
      </w:r>
      <w:r w:rsidRPr="00785BD2">
        <w:rPr>
          <w:rFonts w:ascii="Calibri" w:hAnsi="Calibri" w:cs="Calibri"/>
          <w:i/>
          <w:iCs/>
          <w:sz w:val="24"/>
        </w:rPr>
        <w:t>Vaccine</w:t>
      </w:r>
      <w:r w:rsidRPr="00785BD2">
        <w:rPr>
          <w:rFonts w:ascii="Calibri" w:hAnsi="Calibri" w:cs="Calibri"/>
          <w:sz w:val="24"/>
        </w:rPr>
        <w:t xml:space="preserve"> 2022; </w:t>
      </w:r>
      <w:r w:rsidRPr="00785BD2">
        <w:rPr>
          <w:rFonts w:ascii="Calibri" w:hAnsi="Calibri" w:cs="Calibri"/>
          <w:b/>
          <w:bCs/>
          <w:sz w:val="24"/>
        </w:rPr>
        <w:t>40</w:t>
      </w:r>
      <w:r w:rsidRPr="00785BD2">
        <w:rPr>
          <w:rFonts w:ascii="Calibri" w:hAnsi="Calibri" w:cs="Calibri"/>
          <w:sz w:val="24"/>
        </w:rPr>
        <w:t>: 2011–9.</w:t>
      </w:r>
    </w:p>
    <w:p w14:paraId="387C36B5" w14:textId="77777777" w:rsidR="00785BD2" w:rsidRPr="00785BD2" w:rsidRDefault="00785BD2" w:rsidP="00785BD2">
      <w:pPr>
        <w:pStyle w:val="Bibliography"/>
        <w:rPr>
          <w:rFonts w:ascii="Calibri" w:hAnsi="Calibri" w:cs="Calibri"/>
          <w:sz w:val="24"/>
        </w:rPr>
      </w:pPr>
      <w:r w:rsidRPr="00785BD2">
        <w:rPr>
          <w:rFonts w:ascii="Calibri" w:hAnsi="Calibri" w:cs="Calibri"/>
          <w:sz w:val="24"/>
        </w:rPr>
        <w:t>24</w:t>
      </w:r>
      <w:r w:rsidRPr="00785BD2">
        <w:rPr>
          <w:rFonts w:ascii="Calibri" w:hAnsi="Calibri" w:cs="Calibri"/>
          <w:sz w:val="24"/>
        </w:rPr>
        <w:tab/>
        <w:t xml:space="preserve">Lo C-H, Chiu L, Qian A, </w:t>
      </w:r>
      <w:r w:rsidRPr="00785BD2">
        <w:rPr>
          <w:rFonts w:ascii="Calibri" w:hAnsi="Calibri" w:cs="Calibri"/>
          <w:i/>
          <w:iCs/>
          <w:sz w:val="24"/>
        </w:rPr>
        <w:t>et al.</w:t>
      </w:r>
      <w:r w:rsidRPr="00785BD2">
        <w:rPr>
          <w:rFonts w:ascii="Calibri" w:hAnsi="Calibri" w:cs="Calibri"/>
          <w:sz w:val="24"/>
        </w:rPr>
        <w:t xml:space="preserve"> Association of Primary Care Physicians Per Capita With COVID-19 Vaccination Rates Among US Counties. </w:t>
      </w:r>
      <w:r w:rsidRPr="00785BD2">
        <w:rPr>
          <w:rFonts w:ascii="Calibri" w:hAnsi="Calibri" w:cs="Calibri"/>
          <w:i/>
          <w:iCs/>
          <w:sz w:val="24"/>
        </w:rPr>
        <w:t>JAMA Network Open</w:t>
      </w:r>
      <w:r w:rsidRPr="00785BD2">
        <w:rPr>
          <w:rFonts w:ascii="Calibri" w:hAnsi="Calibri" w:cs="Calibri"/>
          <w:sz w:val="24"/>
        </w:rPr>
        <w:t xml:space="preserve"> 2022; </w:t>
      </w:r>
      <w:r w:rsidRPr="00785BD2">
        <w:rPr>
          <w:rFonts w:ascii="Calibri" w:hAnsi="Calibri" w:cs="Calibri"/>
          <w:b/>
          <w:bCs/>
          <w:sz w:val="24"/>
        </w:rPr>
        <w:t>5</w:t>
      </w:r>
      <w:r w:rsidRPr="00785BD2">
        <w:rPr>
          <w:rFonts w:ascii="Calibri" w:hAnsi="Calibri" w:cs="Calibri"/>
          <w:sz w:val="24"/>
        </w:rPr>
        <w:t>: e2147920.</w:t>
      </w:r>
    </w:p>
    <w:p w14:paraId="104B816B" w14:textId="77777777" w:rsidR="00785BD2" w:rsidRPr="00785BD2" w:rsidRDefault="00785BD2" w:rsidP="00785BD2">
      <w:pPr>
        <w:pStyle w:val="Bibliography"/>
        <w:rPr>
          <w:rFonts w:ascii="Calibri" w:hAnsi="Calibri" w:cs="Calibri"/>
          <w:sz w:val="24"/>
        </w:rPr>
      </w:pPr>
      <w:r w:rsidRPr="00785BD2">
        <w:rPr>
          <w:rFonts w:ascii="Calibri" w:hAnsi="Calibri" w:cs="Calibri"/>
          <w:sz w:val="24"/>
        </w:rPr>
        <w:t>25</w:t>
      </w:r>
      <w:r w:rsidRPr="00785BD2">
        <w:rPr>
          <w:rFonts w:ascii="Calibri" w:hAnsi="Calibri" w:cs="Calibri"/>
          <w:sz w:val="24"/>
        </w:rPr>
        <w:tab/>
        <w:t xml:space="preserve">Danwang C, </w:t>
      </w:r>
      <w:proofErr w:type="spellStart"/>
      <w:r w:rsidRPr="00785BD2">
        <w:rPr>
          <w:rFonts w:ascii="Calibri" w:hAnsi="Calibri" w:cs="Calibri"/>
          <w:sz w:val="24"/>
        </w:rPr>
        <w:t>Noubiap</w:t>
      </w:r>
      <w:proofErr w:type="spellEnd"/>
      <w:r w:rsidRPr="00785BD2">
        <w:rPr>
          <w:rFonts w:ascii="Calibri" w:hAnsi="Calibri" w:cs="Calibri"/>
          <w:sz w:val="24"/>
        </w:rPr>
        <w:t xml:space="preserve"> JJ, Robert A, </w:t>
      </w:r>
      <w:proofErr w:type="spellStart"/>
      <w:r w:rsidRPr="00785BD2">
        <w:rPr>
          <w:rFonts w:ascii="Calibri" w:hAnsi="Calibri" w:cs="Calibri"/>
          <w:sz w:val="24"/>
        </w:rPr>
        <w:t>Yombi</w:t>
      </w:r>
      <w:proofErr w:type="spellEnd"/>
      <w:r w:rsidRPr="00785BD2">
        <w:rPr>
          <w:rFonts w:ascii="Calibri" w:hAnsi="Calibri" w:cs="Calibri"/>
          <w:sz w:val="24"/>
        </w:rPr>
        <w:t xml:space="preserve"> JC. Outcomes of patients with HIV and COVID-19 co-infection: a systematic review and meta-analysis. </w:t>
      </w:r>
      <w:r w:rsidRPr="00785BD2">
        <w:rPr>
          <w:rFonts w:ascii="Calibri" w:hAnsi="Calibri" w:cs="Calibri"/>
          <w:i/>
          <w:iCs/>
          <w:sz w:val="24"/>
        </w:rPr>
        <w:t>AIDS Research and Therapy</w:t>
      </w:r>
      <w:r w:rsidRPr="00785BD2">
        <w:rPr>
          <w:rFonts w:ascii="Calibri" w:hAnsi="Calibri" w:cs="Calibri"/>
          <w:sz w:val="24"/>
        </w:rPr>
        <w:t xml:space="preserve"> 2022; </w:t>
      </w:r>
      <w:r w:rsidRPr="00785BD2">
        <w:rPr>
          <w:rFonts w:ascii="Calibri" w:hAnsi="Calibri" w:cs="Calibri"/>
          <w:b/>
          <w:bCs/>
          <w:sz w:val="24"/>
        </w:rPr>
        <w:t>19</w:t>
      </w:r>
      <w:r w:rsidRPr="00785BD2">
        <w:rPr>
          <w:rFonts w:ascii="Calibri" w:hAnsi="Calibri" w:cs="Calibri"/>
          <w:sz w:val="24"/>
        </w:rPr>
        <w:t>: 3.</w:t>
      </w:r>
    </w:p>
    <w:p w14:paraId="3BB09A2C" w14:textId="77777777" w:rsidR="00785BD2" w:rsidRPr="00785BD2" w:rsidRDefault="00785BD2" w:rsidP="00785BD2">
      <w:pPr>
        <w:pStyle w:val="Bibliography"/>
        <w:rPr>
          <w:rFonts w:ascii="Calibri" w:hAnsi="Calibri" w:cs="Calibri"/>
          <w:sz w:val="24"/>
        </w:rPr>
      </w:pPr>
      <w:r w:rsidRPr="00785BD2">
        <w:rPr>
          <w:rFonts w:ascii="Calibri" w:hAnsi="Calibri" w:cs="Calibri"/>
          <w:sz w:val="24"/>
        </w:rPr>
        <w:t>26</w:t>
      </w:r>
      <w:r w:rsidRPr="00785BD2">
        <w:rPr>
          <w:rFonts w:ascii="Calibri" w:hAnsi="Calibri" w:cs="Calibri"/>
          <w:sz w:val="24"/>
        </w:rPr>
        <w:tab/>
        <w:t xml:space="preserve">Sawadogo W, </w:t>
      </w:r>
      <w:proofErr w:type="spellStart"/>
      <w:r w:rsidRPr="00785BD2">
        <w:rPr>
          <w:rFonts w:ascii="Calibri" w:hAnsi="Calibri" w:cs="Calibri"/>
          <w:sz w:val="24"/>
        </w:rPr>
        <w:t>Tsegaye</w:t>
      </w:r>
      <w:proofErr w:type="spellEnd"/>
      <w:r w:rsidRPr="00785BD2">
        <w:rPr>
          <w:rFonts w:ascii="Calibri" w:hAnsi="Calibri" w:cs="Calibri"/>
          <w:sz w:val="24"/>
        </w:rPr>
        <w:t xml:space="preserve"> M, </w:t>
      </w:r>
      <w:proofErr w:type="spellStart"/>
      <w:r w:rsidRPr="00785BD2">
        <w:rPr>
          <w:rFonts w:ascii="Calibri" w:hAnsi="Calibri" w:cs="Calibri"/>
          <w:sz w:val="24"/>
        </w:rPr>
        <w:t>Gizaw</w:t>
      </w:r>
      <w:proofErr w:type="spellEnd"/>
      <w:r w:rsidRPr="00785BD2">
        <w:rPr>
          <w:rFonts w:ascii="Calibri" w:hAnsi="Calibri" w:cs="Calibri"/>
          <w:sz w:val="24"/>
        </w:rPr>
        <w:t xml:space="preserve"> A, Adera T. </w:t>
      </w:r>
      <w:proofErr w:type="gramStart"/>
      <w:r w:rsidRPr="00785BD2">
        <w:rPr>
          <w:rFonts w:ascii="Calibri" w:hAnsi="Calibri" w:cs="Calibri"/>
          <w:sz w:val="24"/>
        </w:rPr>
        <w:t>Overweight</w:t>
      </w:r>
      <w:proofErr w:type="gramEnd"/>
      <w:r w:rsidRPr="00785BD2">
        <w:rPr>
          <w:rFonts w:ascii="Calibri" w:hAnsi="Calibri" w:cs="Calibri"/>
          <w:sz w:val="24"/>
        </w:rPr>
        <w:t xml:space="preserve"> and obesity as risk factors for COVID-19-associated hospitalisations and death: systematic review and meta-analysis. </w:t>
      </w:r>
      <w:r w:rsidRPr="00785BD2">
        <w:rPr>
          <w:rFonts w:ascii="Calibri" w:hAnsi="Calibri" w:cs="Calibri"/>
          <w:i/>
          <w:iCs/>
          <w:sz w:val="24"/>
        </w:rPr>
        <w:t>BMJ Nutrition, Prevention &amp; Health</w:t>
      </w:r>
      <w:r w:rsidRPr="00785BD2">
        <w:rPr>
          <w:rFonts w:ascii="Calibri" w:hAnsi="Calibri" w:cs="Calibri"/>
          <w:sz w:val="24"/>
        </w:rPr>
        <w:t xml:space="preserve"> 2022</w:t>
      </w:r>
      <w:proofErr w:type="gramStart"/>
      <w:r w:rsidRPr="00785BD2">
        <w:rPr>
          <w:rFonts w:ascii="Calibri" w:hAnsi="Calibri" w:cs="Calibri"/>
          <w:sz w:val="24"/>
        </w:rPr>
        <w:t>; :</w:t>
      </w:r>
      <w:proofErr w:type="gramEnd"/>
      <w:r w:rsidRPr="00785BD2">
        <w:rPr>
          <w:rFonts w:ascii="Calibri" w:hAnsi="Calibri" w:cs="Calibri"/>
          <w:sz w:val="24"/>
        </w:rPr>
        <w:t xml:space="preserve"> e000375.</w:t>
      </w:r>
    </w:p>
    <w:p w14:paraId="01175B96" w14:textId="77777777" w:rsidR="00785BD2" w:rsidRPr="00785BD2" w:rsidRDefault="00785BD2" w:rsidP="00785BD2">
      <w:pPr>
        <w:pStyle w:val="Bibliography"/>
        <w:rPr>
          <w:rFonts w:ascii="Calibri" w:hAnsi="Calibri" w:cs="Calibri"/>
          <w:sz w:val="24"/>
        </w:rPr>
      </w:pPr>
      <w:r w:rsidRPr="00785BD2">
        <w:rPr>
          <w:rFonts w:ascii="Calibri" w:hAnsi="Calibri" w:cs="Calibri"/>
          <w:sz w:val="24"/>
        </w:rPr>
        <w:t>27</w:t>
      </w:r>
      <w:r w:rsidRPr="00785BD2">
        <w:rPr>
          <w:rFonts w:ascii="Calibri" w:hAnsi="Calibri" w:cs="Calibri"/>
          <w:sz w:val="24"/>
        </w:rPr>
        <w:tab/>
        <w:t>Life tables: Life tables by country Kenya. https://apps.who.int/gho/data/view.searo.60850?lang=en (accessed May 21, 2022).</w:t>
      </w:r>
    </w:p>
    <w:p w14:paraId="7821358C" w14:textId="77777777" w:rsidR="00785BD2" w:rsidRPr="00785BD2" w:rsidRDefault="00785BD2" w:rsidP="00785BD2">
      <w:pPr>
        <w:pStyle w:val="Bibliography"/>
        <w:rPr>
          <w:rFonts w:ascii="Calibri" w:hAnsi="Calibri" w:cs="Calibri"/>
          <w:sz w:val="24"/>
        </w:rPr>
      </w:pPr>
      <w:r w:rsidRPr="00785BD2">
        <w:rPr>
          <w:rFonts w:ascii="Calibri" w:hAnsi="Calibri" w:cs="Calibri"/>
          <w:sz w:val="24"/>
        </w:rPr>
        <w:t>28</w:t>
      </w:r>
      <w:r w:rsidRPr="00785BD2">
        <w:rPr>
          <w:rFonts w:ascii="Calibri" w:hAnsi="Calibri" w:cs="Calibri"/>
          <w:sz w:val="24"/>
        </w:rPr>
        <w:tab/>
        <w:t xml:space="preserve">Ma Q, Liu J, Liu Q, </w:t>
      </w:r>
      <w:r w:rsidRPr="00785BD2">
        <w:rPr>
          <w:rFonts w:ascii="Calibri" w:hAnsi="Calibri" w:cs="Calibri"/>
          <w:i/>
          <w:iCs/>
          <w:sz w:val="24"/>
        </w:rPr>
        <w:t>et al.</w:t>
      </w:r>
      <w:r w:rsidRPr="00785BD2">
        <w:rPr>
          <w:rFonts w:ascii="Calibri" w:hAnsi="Calibri" w:cs="Calibri"/>
          <w:sz w:val="24"/>
        </w:rPr>
        <w:t xml:space="preserve"> Global Percentage of Asymptomatic SARS-CoV-2 Infections Among the Tested Population and Individuals </w:t>
      </w:r>
      <w:proofErr w:type="gramStart"/>
      <w:r w:rsidRPr="00785BD2">
        <w:rPr>
          <w:rFonts w:ascii="Calibri" w:hAnsi="Calibri" w:cs="Calibri"/>
          <w:sz w:val="24"/>
        </w:rPr>
        <w:t>With</w:t>
      </w:r>
      <w:proofErr w:type="gramEnd"/>
      <w:r w:rsidRPr="00785BD2">
        <w:rPr>
          <w:rFonts w:ascii="Calibri" w:hAnsi="Calibri" w:cs="Calibri"/>
          <w:sz w:val="24"/>
        </w:rPr>
        <w:t xml:space="preserve"> Confirmed COVID-19 Diagnosis: A Systematic Review and Meta-analysis. </w:t>
      </w:r>
      <w:r w:rsidRPr="00785BD2">
        <w:rPr>
          <w:rFonts w:ascii="Calibri" w:hAnsi="Calibri" w:cs="Calibri"/>
          <w:i/>
          <w:iCs/>
          <w:sz w:val="24"/>
        </w:rPr>
        <w:t>JAMA Network Open</w:t>
      </w:r>
      <w:r w:rsidRPr="00785BD2">
        <w:rPr>
          <w:rFonts w:ascii="Calibri" w:hAnsi="Calibri" w:cs="Calibri"/>
          <w:sz w:val="24"/>
        </w:rPr>
        <w:t xml:space="preserve"> 2021; </w:t>
      </w:r>
      <w:r w:rsidRPr="00785BD2">
        <w:rPr>
          <w:rFonts w:ascii="Calibri" w:hAnsi="Calibri" w:cs="Calibri"/>
          <w:b/>
          <w:bCs/>
          <w:sz w:val="24"/>
        </w:rPr>
        <w:t>4</w:t>
      </w:r>
      <w:r w:rsidRPr="00785BD2">
        <w:rPr>
          <w:rFonts w:ascii="Calibri" w:hAnsi="Calibri" w:cs="Calibri"/>
          <w:sz w:val="24"/>
        </w:rPr>
        <w:t>: e2137257.</w:t>
      </w:r>
    </w:p>
    <w:p w14:paraId="2D103492" w14:textId="77777777" w:rsidR="00785BD2" w:rsidRPr="00785BD2" w:rsidRDefault="00785BD2" w:rsidP="00785BD2">
      <w:pPr>
        <w:pStyle w:val="Bibliography"/>
        <w:rPr>
          <w:rFonts w:ascii="Calibri" w:hAnsi="Calibri" w:cs="Calibri"/>
          <w:sz w:val="24"/>
        </w:rPr>
      </w:pPr>
      <w:r w:rsidRPr="00785BD2">
        <w:rPr>
          <w:rFonts w:ascii="Calibri" w:hAnsi="Calibri" w:cs="Calibri"/>
          <w:sz w:val="24"/>
        </w:rPr>
        <w:lastRenderedPageBreak/>
        <w:t>29</w:t>
      </w:r>
      <w:r w:rsidRPr="00785BD2">
        <w:rPr>
          <w:rFonts w:ascii="Calibri" w:hAnsi="Calibri" w:cs="Calibri"/>
          <w:sz w:val="24"/>
        </w:rPr>
        <w:tab/>
        <w:t xml:space="preserve">Sah P, Fitzpatrick MC, Zimmer CF, </w:t>
      </w:r>
      <w:r w:rsidRPr="00785BD2">
        <w:rPr>
          <w:rFonts w:ascii="Calibri" w:hAnsi="Calibri" w:cs="Calibri"/>
          <w:i/>
          <w:iCs/>
          <w:sz w:val="24"/>
        </w:rPr>
        <w:t>et al.</w:t>
      </w:r>
      <w:r w:rsidRPr="00785BD2">
        <w:rPr>
          <w:rFonts w:ascii="Calibri" w:hAnsi="Calibri" w:cs="Calibri"/>
          <w:sz w:val="24"/>
        </w:rPr>
        <w:t xml:space="preserve"> Asymptomatic SARS-CoV-2 infection: A systematic review and meta-analysis. </w:t>
      </w:r>
      <w:r w:rsidRPr="00785BD2">
        <w:rPr>
          <w:rFonts w:ascii="Calibri" w:hAnsi="Calibri" w:cs="Calibri"/>
          <w:i/>
          <w:iCs/>
          <w:sz w:val="24"/>
        </w:rPr>
        <w:t>Proceedings of the National Academy of Sciences</w:t>
      </w:r>
      <w:r w:rsidRPr="00785BD2">
        <w:rPr>
          <w:rFonts w:ascii="Calibri" w:hAnsi="Calibri" w:cs="Calibri"/>
          <w:sz w:val="24"/>
        </w:rPr>
        <w:t xml:space="preserve"> 2021; </w:t>
      </w:r>
      <w:r w:rsidRPr="00785BD2">
        <w:rPr>
          <w:rFonts w:ascii="Calibri" w:hAnsi="Calibri" w:cs="Calibri"/>
          <w:b/>
          <w:bCs/>
          <w:sz w:val="24"/>
        </w:rPr>
        <w:t>118</w:t>
      </w:r>
      <w:r w:rsidRPr="00785BD2">
        <w:rPr>
          <w:rFonts w:ascii="Calibri" w:hAnsi="Calibri" w:cs="Calibri"/>
          <w:sz w:val="24"/>
        </w:rPr>
        <w:t>: e2109229118.</w:t>
      </w:r>
    </w:p>
    <w:p w14:paraId="61BD9C07" w14:textId="77777777" w:rsidR="00785BD2" w:rsidRPr="00785BD2" w:rsidRDefault="00785BD2" w:rsidP="00785BD2">
      <w:pPr>
        <w:pStyle w:val="Bibliography"/>
        <w:rPr>
          <w:rFonts w:ascii="Calibri" w:hAnsi="Calibri" w:cs="Calibri"/>
          <w:sz w:val="24"/>
        </w:rPr>
      </w:pPr>
      <w:r w:rsidRPr="00785BD2">
        <w:rPr>
          <w:rFonts w:ascii="Calibri" w:hAnsi="Calibri" w:cs="Calibri"/>
          <w:sz w:val="24"/>
        </w:rPr>
        <w:t>30</w:t>
      </w:r>
      <w:r w:rsidRPr="00785BD2">
        <w:rPr>
          <w:rFonts w:ascii="Calibri" w:hAnsi="Calibri" w:cs="Calibri"/>
          <w:sz w:val="24"/>
        </w:rPr>
        <w:tab/>
        <w:t>Kenya Age structure - Demographics. https://www.indexmundi.com/kenya/age_structure.html (accessed June 15, 2022).</w:t>
      </w:r>
    </w:p>
    <w:p w14:paraId="0DB4BF6C" w14:textId="226DB0B1" w:rsidR="00792707" w:rsidRDefault="007035DE" w:rsidP="00460AFC">
      <w:pPr>
        <w:ind w:left="0"/>
        <w:rPr>
          <w:sz w:val="24"/>
          <w:szCs w:val="24"/>
          <w:lang w:val="en-GB"/>
        </w:rPr>
      </w:pPr>
      <w:r>
        <w:rPr>
          <w:sz w:val="24"/>
          <w:szCs w:val="24"/>
          <w:lang w:val="en-GB"/>
        </w:rPr>
        <w:fldChar w:fldCharType="end"/>
      </w:r>
    </w:p>
    <w:p w14:paraId="544039A0" w14:textId="77777777" w:rsidR="00792707" w:rsidRPr="00F77316" w:rsidRDefault="00792707" w:rsidP="00792707">
      <w:pPr>
        <w:ind w:left="0"/>
        <w:rPr>
          <w:sz w:val="24"/>
          <w:szCs w:val="24"/>
          <w:lang w:val="en-GB"/>
        </w:rPr>
      </w:pPr>
    </w:p>
    <w:p w14:paraId="3EEFA3F0" w14:textId="77777777" w:rsidR="00792707" w:rsidRDefault="00792707" w:rsidP="00792707">
      <w:pPr>
        <w:spacing w:after="0"/>
        <w:ind w:left="0"/>
        <w:rPr>
          <w:sz w:val="24"/>
          <w:szCs w:val="24"/>
          <w:lang w:val="en-GB"/>
        </w:rPr>
      </w:pPr>
      <w:r>
        <w:rPr>
          <w:noProof/>
          <w:sz w:val="24"/>
          <w:szCs w:val="24"/>
          <w:lang w:val="en-GB"/>
        </w:rPr>
        <w:drawing>
          <wp:inline distT="0" distB="0" distL="0" distR="0" wp14:anchorId="2E535A73" wp14:editId="4EC1A96B">
            <wp:extent cx="5731510" cy="2646680"/>
            <wp:effectExtent l="19050" t="19050" r="21590" b="20320"/>
            <wp:docPr id="1"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46680"/>
                    </a:xfrm>
                    <a:prstGeom prst="rect">
                      <a:avLst/>
                    </a:prstGeom>
                    <a:noFill/>
                    <a:ln>
                      <a:solidFill>
                        <a:schemeClr val="tx1"/>
                      </a:solidFill>
                    </a:ln>
                  </pic:spPr>
                </pic:pic>
              </a:graphicData>
            </a:graphic>
          </wp:inline>
        </w:drawing>
      </w:r>
    </w:p>
    <w:p w14:paraId="0A710ED9" w14:textId="77777777" w:rsidR="00792707" w:rsidRPr="00F77316" w:rsidRDefault="00792707" w:rsidP="00792707">
      <w:pPr>
        <w:spacing w:line="276" w:lineRule="auto"/>
        <w:ind w:left="0"/>
        <w:rPr>
          <w:sz w:val="20"/>
          <w:szCs w:val="20"/>
          <w:lang w:val="en-GB"/>
        </w:rPr>
      </w:pPr>
      <w:r w:rsidRPr="00F77316">
        <w:rPr>
          <w:b/>
          <w:bCs/>
          <w:sz w:val="20"/>
          <w:szCs w:val="20"/>
          <w:lang w:val="en-GB"/>
        </w:rPr>
        <w:t>Figure 1.</w:t>
      </w:r>
      <w:r w:rsidRPr="00F77316">
        <w:rPr>
          <w:sz w:val="20"/>
          <w:szCs w:val="20"/>
          <w:lang w:val="en-GB"/>
        </w:rPr>
        <w:t xml:space="preserve"> Long COVID model. In the acute COVID-19 infection phase, i</w:t>
      </w:r>
      <w:r w:rsidRPr="00F77316">
        <w:rPr>
          <w:rFonts w:ascii="Calibri" w:eastAsia="Calibri" w:hAnsi="Calibri" w:cs="Calibri"/>
          <w:sz w:val="20"/>
          <w:szCs w:val="20"/>
          <w:lang w:val="en-GB"/>
        </w:rPr>
        <w:t>ndividuals with asymptomatic infection or symptomatic can either die or survive. Health states in the acute phase are represented as tunnel states as individuals progress through them in a sequence that does not allow returning to the previous one. If individuals survive, they can evolve to mild, moderate, and severe Long COVID or recover. The model is adjusted by vaccination coverage rate, primary care coverage rate, and health conditions that are prevalent in Kenya (i.e., HIV, and obesity).</w:t>
      </w:r>
    </w:p>
    <w:p w14:paraId="23849116" w14:textId="77777777" w:rsidR="00D73702" w:rsidRDefault="00D73702">
      <w:pPr>
        <w:ind w:left="748"/>
        <w:rPr>
          <w:b/>
          <w:bCs/>
          <w:sz w:val="24"/>
          <w:szCs w:val="24"/>
          <w:lang w:val="en-GB"/>
        </w:rPr>
      </w:pPr>
      <w:r>
        <w:rPr>
          <w:b/>
          <w:bCs/>
          <w:sz w:val="24"/>
          <w:szCs w:val="24"/>
          <w:lang w:val="en-GB"/>
        </w:rPr>
        <w:br w:type="page"/>
      </w:r>
    </w:p>
    <w:p w14:paraId="53A0C892" w14:textId="249B60C8" w:rsidR="00D73702" w:rsidRDefault="00D73702" w:rsidP="000B1B66">
      <w:pPr>
        <w:spacing w:after="0"/>
        <w:ind w:left="0"/>
        <w:rPr>
          <w:b/>
          <w:bCs/>
          <w:sz w:val="24"/>
          <w:szCs w:val="24"/>
          <w:lang w:val="en-GB"/>
        </w:rPr>
      </w:pPr>
      <w:r>
        <w:rPr>
          <w:b/>
          <w:bCs/>
          <w:sz w:val="24"/>
          <w:szCs w:val="24"/>
          <w:lang w:val="en-GB"/>
        </w:rPr>
        <w:lastRenderedPageBreak/>
        <w:t>Table 1. Model parameters</w:t>
      </w:r>
    </w:p>
    <w:tbl>
      <w:tblPr>
        <w:tblStyle w:val="TableGrid"/>
        <w:tblW w:w="5000" w:type="pct"/>
        <w:tblLook w:val="04A0" w:firstRow="1" w:lastRow="0" w:firstColumn="1" w:lastColumn="0" w:noHBand="0" w:noVBand="1"/>
      </w:tblPr>
      <w:tblGrid>
        <w:gridCol w:w="4319"/>
        <w:gridCol w:w="1078"/>
        <w:gridCol w:w="1556"/>
        <w:gridCol w:w="1300"/>
        <w:gridCol w:w="763"/>
      </w:tblGrid>
      <w:tr w:rsidR="002860D8" w:rsidRPr="001F3159" w14:paraId="30E79948" w14:textId="77777777" w:rsidTr="000B1B66">
        <w:trPr>
          <w:trHeight w:val="20"/>
        </w:trPr>
        <w:tc>
          <w:tcPr>
            <w:tcW w:w="2395" w:type="pct"/>
            <w:shd w:val="clear" w:color="auto" w:fill="DBDBDB" w:themeFill="accent3" w:themeFillTint="66"/>
          </w:tcPr>
          <w:p w14:paraId="64FBEBC7" w14:textId="40C56513" w:rsidR="00D202B8" w:rsidRPr="001F3159" w:rsidRDefault="00D202B8" w:rsidP="00D73702">
            <w:pPr>
              <w:ind w:left="0"/>
              <w:rPr>
                <w:b/>
                <w:bCs/>
                <w:sz w:val="16"/>
                <w:szCs w:val="16"/>
                <w:lang w:val="en-GB"/>
              </w:rPr>
            </w:pPr>
            <w:r w:rsidRPr="001F3159">
              <w:rPr>
                <w:b/>
                <w:bCs/>
                <w:sz w:val="16"/>
                <w:szCs w:val="16"/>
                <w:lang w:val="en-GB"/>
              </w:rPr>
              <w:t>Parameter</w:t>
            </w:r>
          </w:p>
        </w:tc>
        <w:tc>
          <w:tcPr>
            <w:tcW w:w="598" w:type="pct"/>
            <w:shd w:val="clear" w:color="auto" w:fill="DBDBDB" w:themeFill="accent3" w:themeFillTint="66"/>
          </w:tcPr>
          <w:p w14:paraId="2F911805" w14:textId="51EA8ADA" w:rsidR="00D202B8" w:rsidRPr="001F3159" w:rsidRDefault="00D202B8" w:rsidP="00D73702">
            <w:pPr>
              <w:ind w:left="0"/>
              <w:rPr>
                <w:b/>
                <w:bCs/>
                <w:sz w:val="16"/>
                <w:szCs w:val="16"/>
                <w:lang w:val="en-GB"/>
              </w:rPr>
            </w:pPr>
            <w:r w:rsidRPr="001F3159">
              <w:rPr>
                <w:b/>
                <w:bCs/>
                <w:sz w:val="16"/>
                <w:szCs w:val="16"/>
                <w:lang w:val="en-GB"/>
              </w:rPr>
              <w:t>Value</w:t>
            </w:r>
          </w:p>
        </w:tc>
        <w:tc>
          <w:tcPr>
            <w:tcW w:w="863" w:type="pct"/>
            <w:shd w:val="clear" w:color="auto" w:fill="DBDBDB" w:themeFill="accent3" w:themeFillTint="66"/>
          </w:tcPr>
          <w:p w14:paraId="6C5352C7" w14:textId="0970D10B" w:rsidR="00D202B8" w:rsidRPr="001F3159" w:rsidRDefault="00D202B8" w:rsidP="00D73702">
            <w:pPr>
              <w:ind w:left="0"/>
              <w:rPr>
                <w:b/>
                <w:bCs/>
                <w:sz w:val="16"/>
                <w:szCs w:val="16"/>
                <w:lang w:val="en-GB"/>
              </w:rPr>
            </w:pPr>
            <w:r w:rsidRPr="001F3159">
              <w:rPr>
                <w:b/>
                <w:bCs/>
                <w:sz w:val="16"/>
                <w:szCs w:val="16"/>
                <w:lang w:val="en-GB"/>
              </w:rPr>
              <w:t>Sensitivity analysis</w:t>
            </w:r>
          </w:p>
        </w:tc>
        <w:tc>
          <w:tcPr>
            <w:tcW w:w="721" w:type="pct"/>
            <w:shd w:val="clear" w:color="auto" w:fill="DBDBDB" w:themeFill="accent3" w:themeFillTint="66"/>
          </w:tcPr>
          <w:p w14:paraId="539B89C3" w14:textId="7676829A" w:rsidR="00D202B8" w:rsidRPr="001F3159" w:rsidRDefault="00D202B8" w:rsidP="00D73702">
            <w:pPr>
              <w:ind w:left="0"/>
              <w:rPr>
                <w:b/>
                <w:bCs/>
                <w:sz w:val="16"/>
                <w:szCs w:val="16"/>
                <w:lang w:val="en-GB"/>
              </w:rPr>
            </w:pPr>
            <w:r w:rsidRPr="001F3159">
              <w:rPr>
                <w:b/>
                <w:bCs/>
                <w:sz w:val="16"/>
                <w:szCs w:val="16"/>
                <w:lang w:val="en-GB"/>
              </w:rPr>
              <w:t>Reference</w:t>
            </w:r>
          </w:p>
        </w:tc>
        <w:tc>
          <w:tcPr>
            <w:tcW w:w="423" w:type="pct"/>
            <w:shd w:val="clear" w:color="auto" w:fill="DBDBDB" w:themeFill="accent3" w:themeFillTint="66"/>
          </w:tcPr>
          <w:p w14:paraId="1100E638" w14:textId="5C7E11D0" w:rsidR="00D202B8" w:rsidRPr="001F3159" w:rsidRDefault="00D202B8" w:rsidP="00D73702">
            <w:pPr>
              <w:ind w:left="0"/>
              <w:rPr>
                <w:b/>
                <w:bCs/>
                <w:sz w:val="16"/>
                <w:szCs w:val="16"/>
                <w:lang w:val="en-GB"/>
              </w:rPr>
            </w:pPr>
            <w:r w:rsidRPr="001F3159">
              <w:rPr>
                <w:b/>
                <w:bCs/>
                <w:sz w:val="16"/>
                <w:szCs w:val="16"/>
                <w:lang w:val="en-GB"/>
              </w:rPr>
              <w:t>Year</w:t>
            </w:r>
          </w:p>
        </w:tc>
      </w:tr>
      <w:tr w:rsidR="008429A8" w:rsidRPr="001F3159" w14:paraId="0A106A86" w14:textId="77777777" w:rsidTr="000B1B66">
        <w:trPr>
          <w:trHeight w:val="20"/>
        </w:trPr>
        <w:tc>
          <w:tcPr>
            <w:tcW w:w="5000" w:type="pct"/>
            <w:gridSpan w:val="5"/>
            <w:shd w:val="clear" w:color="auto" w:fill="DBDBDB" w:themeFill="accent3" w:themeFillTint="66"/>
          </w:tcPr>
          <w:p w14:paraId="1C1C7064" w14:textId="10A2059F" w:rsidR="008429A8" w:rsidRPr="001F3159" w:rsidRDefault="008429A8" w:rsidP="00D73702">
            <w:pPr>
              <w:ind w:left="0"/>
              <w:rPr>
                <w:b/>
                <w:bCs/>
                <w:sz w:val="16"/>
                <w:szCs w:val="16"/>
                <w:lang w:val="en-GB"/>
              </w:rPr>
            </w:pPr>
            <w:r w:rsidRPr="001F3159">
              <w:rPr>
                <w:b/>
                <w:bCs/>
                <w:sz w:val="16"/>
                <w:szCs w:val="16"/>
                <w:lang w:val="en-GB"/>
              </w:rPr>
              <w:t>A</w:t>
            </w:r>
            <w:r w:rsidRPr="001F3159">
              <w:rPr>
                <w:b/>
                <w:bCs/>
                <w:sz w:val="16"/>
                <w:szCs w:val="16"/>
                <w:lang w:val="en-GB"/>
              </w:rPr>
              <w:t>cute component</w:t>
            </w:r>
            <w:r w:rsidRPr="001F3159">
              <w:rPr>
                <w:b/>
                <w:bCs/>
                <w:sz w:val="16"/>
                <w:szCs w:val="16"/>
                <w:lang w:val="en-GB"/>
              </w:rPr>
              <w:t xml:space="preserve"> – Omicron variant</w:t>
            </w:r>
          </w:p>
        </w:tc>
      </w:tr>
      <w:tr w:rsidR="00D202B8" w:rsidRPr="001F3159" w14:paraId="6D27A89B" w14:textId="77777777" w:rsidTr="000B1B66">
        <w:trPr>
          <w:trHeight w:val="20"/>
        </w:trPr>
        <w:tc>
          <w:tcPr>
            <w:tcW w:w="5000" w:type="pct"/>
            <w:gridSpan w:val="5"/>
            <w:shd w:val="clear" w:color="auto" w:fill="EDEDED" w:themeFill="accent3" w:themeFillTint="33"/>
          </w:tcPr>
          <w:p w14:paraId="18719BC4" w14:textId="7650096F" w:rsidR="00D202B8" w:rsidRPr="001F3159" w:rsidRDefault="00D202B8" w:rsidP="00D73702">
            <w:pPr>
              <w:ind w:left="0"/>
              <w:rPr>
                <w:b/>
                <w:bCs/>
                <w:sz w:val="16"/>
                <w:szCs w:val="16"/>
                <w:lang w:val="en-GB"/>
              </w:rPr>
            </w:pPr>
            <w:r w:rsidRPr="001F3159">
              <w:rPr>
                <w:b/>
                <w:bCs/>
                <w:sz w:val="16"/>
                <w:szCs w:val="16"/>
                <w:lang w:val="en-GB"/>
              </w:rPr>
              <w:t>Transition probabilities</w:t>
            </w:r>
          </w:p>
        </w:tc>
      </w:tr>
      <w:tr w:rsidR="00D202B8" w:rsidRPr="001F3159" w14:paraId="35C99859" w14:textId="77777777" w:rsidTr="000B1B66">
        <w:trPr>
          <w:trHeight w:val="20"/>
        </w:trPr>
        <w:tc>
          <w:tcPr>
            <w:tcW w:w="2395" w:type="pct"/>
          </w:tcPr>
          <w:p w14:paraId="257C322E" w14:textId="655BFEC7" w:rsidR="00D202B8" w:rsidRPr="001F3159" w:rsidRDefault="00D202B8" w:rsidP="00D73702">
            <w:pPr>
              <w:ind w:left="0"/>
              <w:rPr>
                <w:sz w:val="16"/>
                <w:szCs w:val="16"/>
                <w:lang w:val="en-GB"/>
              </w:rPr>
            </w:pPr>
            <w:r w:rsidRPr="001F3159">
              <w:rPr>
                <w:sz w:val="16"/>
                <w:szCs w:val="16"/>
                <w:lang w:val="en-GB"/>
              </w:rPr>
              <w:t xml:space="preserve">From </w:t>
            </w:r>
            <w:r w:rsidR="00DC3626" w:rsidRPr="001F3159">
              <w:rPr>
                <w:sz w:val="16"/>
                <w:szCs w:val="16"/>
                <w:lang w:val="en-GB"/>
              </w:rPr>
              <w:t>a</w:t>
            </w:r>
            <w:r w:rsidRPr="001F3159">
              <w:rPr>
                <w:sz w:val="16"/>
                <w:szCs w:val="16"/>
                <w:lang w:val="en-GB"/>
              </w:rPr>
              <w:t xml:space="preserve">symp to </w:t>
            </w:r>
            <w:r w:rsidR="00DC3626" w:rsidRPr="001F3159">
              <w:rPr>
                <w:sz w:val="16"/>
                <w:szCs w:val="16"/>
                <w:lang w:val="en-GB"/>
              </w:rPr>
              <w:t>m</w:t>
            </w:r>
            <w:r w:rsidRPr="001F3159">
              <w:rPr>
                <w:sz w:val="16"/>
                <w:szCs w:val="16"/>
                <w:lang w:val="en-GB"/>
              </w:rPr>
              <w:t>ild/mod COVID-19</w:t>
            </w:r>
          </w:p>
        </w:tc>
        <w:tc>
          <w:tcPr>
            <w:tcW w:w="598" w:type="pct"/>
          </w:tcPr>
          <w:p w14:paraId="289DC988" w14:textId="5EA474DE" w:rsidR="00D202B8" w:rsidRPr="001F3159" w:rsidRDefault="00DC3626" w:rsidP="00D73702">
            <w:pPr>
              <w:ind w:left="0"/>
              <w:rPr>
                <w:sz w:val="16"/>
                <w:szCs w:val="16"/>
                <w:lang w:val="en-GB"/>
              </w:rPr>
            </w:pPr>
            <w:r w:rsidRPr="001F3159">
              <w:rPr>
                <w:sz w:val="16"/>
                <w:szCs w:val="16"/>
                <w:lang w:val="en-GB"/>
              </w:rPr>
              <w:t>0.6</w:t>
            </w:r>
            <w:r w:rsidR="00523DC8" w:rsidRPr="001F3159">
              <w:rPr>
                <w:sz w:val="16"/>
                <w:szCs w:val="16"/>
                <w:lang w:val="en-GB"/>
              </w:rPr>
              <w:t>0</w:t>
            </w:r>
          </w:p>
        </w:tc>
        <w:tc>
          <w:tcPr>
            <w:tcW w:w="863" w:type="pct"/>
          </w:tcPr>
          <w:p w14:paraId="4849306F" w14:textId="4F6000A3" w:rsidR="00785BD2" w:rsidRPr="001F3159" w:rsidRDefault="00785BD2" w:rsidP="00D73702">
            <w:pPr>
              <w:ind w:left="0"/>
              <w:rPr>
                <w:sz w:val="16"/>
                <w:szCs w:val="16"/>
                <w:lang w:val="en-GB"/>
              </w:rPr>
            </w:pPr>
            <w:r w:rsidRPr="001F3159">
              <w:rPr>
                <w:sz w:val="16"/>
                <w:szCs w:val="16"/>
                <w:lang w:val="en-GB"/>
              </w:rPr>
              <w:t>0.53 – 0.66</w:t>
            </w:r>
          </w:p>
        </w:tc>
        <w:tc>
          <w:tcPr>
            <w:tcW w:w="721" w:type="pct"/>
          </w:tcPr>
          <w:p w14:paraId="3AD3FDD9" w14:textId="451092D8" w:rsidR="00D202B8" w:rsidRPr="001F3159" w:rsidRDefault="00785BD2" w:rsidP="00D73702">
            <w:pPr>
              <w:ind w:left="0"/>
              <w:rPr>
                <w:sz w:val="16"/>
                <w:szCs w:val="16"/>
                <w:lang w:val="en-GB"/>
              </w:rPr>
            </w:pPr>
            <w:r w:rsidRPr="001F3159">
              <w:rPr>
                <w:sz w:val="16"/>
                <w:szCs w:val="16"/>
                <w:lang w:val="en-GB"/>
              </w:rPr>
              <w:fldChar w:fldCharType="begin"/>
            </w:r>
            <w:r w:rsidRPr="001F3159">
              <w:rPr>
                <w:sz w:val="16"/>
                <w:szCs w:val="16"/>
                <w:lang w:val="en-GB"/>
              </w:rPr>
              <w:instrText xml:space="preserve"> ADDIN ZOTERO_ITEM CSL_CITATION {"citationID":"Mz0SUQfZ","properties":{"formattedCitation":"\\super 28,29\\nosupersub{}","plainCitation":"28,29","noteIndex":0},"citationItems":[{"id":7781,"uris":["http://zotero.org/users/3111854/items/SITJFQ3Q"],"itemData":{"id":7781,"type":"article-journal","abstract":"Asymptomatic infections are potential sources of transmission for COVID-19.To evaluate the percentage of asymptomatic infections among individuals undergoing testing (tested population) and those with confirmed COVID-19 (confirmed population).PubMed, EMBASE, and ScienceDirect were searched on February 4, 2021.Cross-sectional studies, cohort studies, case series studies, and case series on transmission reporting the number of asymptomatic infections among the tested and confirmed COVID-19 populations that were published in Chinese or English were included.This meta-analysis was conducted following the Preferred Reporting Items for Systematic Reviews and Meta-Analyses (PRISMA) guideline. Random-effects models were used to estimate the pooled percentage and its 95% CI. Three researchers performed the data extraction independently.The percentage of asymptomatic infections among the tested and confirmed populations.Ninety-five unique eligible studies were included, covering 29 776 306 individuals undergoing testing. The pooled percentage of asymptomatic infections among the tested population was 0.25% (95% CI, 0.23%-0.27%), which was higher in nursing home residents or staff (4.52% [95% CI, 4.15%-4.89%]), air or cruise travelers (2.02% [95% CI, 1.66%-2.38%]), and pregnant women (2.34% [95% CI, 1.89%-2.78%]). The pooled percentage of asymptomatic infections among the confirmed population was 40.50% (95% CI, 33.50%-47.50%), which was higher in pregnant women (54.11% [95% CI, 39.16%-69.05%]), air or cruise travelers (52.91% [95% CI, 36.08%-69.73%]), and nursing home residents or staff (47.53% [95% CI, 36.36%-58.70%]).In this meta-analysis of the percentage of asymptomatic SARS-CoV-2 infections among populations tested for and with confirmed COVID-19, the pooled percentage of asymptomatic infections was 0.25% among the tested population and 40.50% among the confirmed population. The high percentage of asymptomatic infections highlights the potential transmission risk of asymptomatic infections in communities.","container-title":"JAMA Network Open","DOI":"10.1001/jamanetworkopen.2021.37257","ISSN":"2574-3805","issue":"12","journalAbbreviation":"JAMA Network Open","page":"e2137257","source":"Silverchair","title":"Global Percentage of Asymptomatic SARS-CoV-2 Infections Among the Tested Population and Individuals With Confirmed COVID-19 Diagnosis: A Systematic Review and Meta-analysis","title-short":"Global Percentage of Asymptomatic SARS-CoV-2 Infections Among the Tested Population and Individuals With Confirmed COVID-19 Diagnosis","volume":"4","author":[{"family":"Ma","given":"Qiuyue"},{"family":"Liu","given":"Jue"},{"family":"Liu","given":"Qiao"},{"family":"Kang","given":"Liangyu"},{"family":"Liu","given":"Runqing"},{"family":"Jing","given":"Wenzhan"},{"family":"Wu","given":"Yu"},{"family":"Liu","given":"Min"}],"issued":{"date-parts":[["2021",12,14]]}}},{"id":7911,"uris":["http://zotero.org/users/3111854/items/ALEXG55V"],"itemData":{"id":7911,"type":"article-journal","container-title":"Proceedings of the National Academy of Sciences","DOI":"10.1073/pnas.2109229118","issue":"34","note":"publisher: Proceedings of the National Academy of Sciences","page":"e2109229118","source":"pnas.org (Atypon)","title":"Asymptomatic SARS-CoV-2 infection: A systematic review and meta-analysis","title-short":"Asymptomatic SARS-CoV-2 infection","volume":"118","author":[{"family":"Sah","given":"Pratha"},{"family":"Fitzpatrick","given":"Meagan C."},{"family":"Zimmer","given":"Charlotte F."},{"family":"Abdollahi","given":"Elaheh"},{"family":"Juden-Kelly","given":"Lyndon"},{"family":"Moghadas","given":"Seyed M."},{"family":"Singer","given":"Burton H."},{"family":"Galvani","given":"Alison P."}],"issued":{"date-parts":[["2021",8,24]]}}}],"schema":"https://github.com/citation-style-language/schema/raw/master/csl-citation.json"} </w:instrText>
            </w:r>
            <w:r w:rsidRPr="001F3159">
              <w:rPr>
                <w:sz w:val="16"/>
                <w:szCs w:val="16"/>
                <w:lang w:val="en-GB"/>
              </w:rPr>
              <w:fldChar w:fldCharType="separate"/>
            </w:r>
            <w:r w:rsidRPr="001F3159">
              <w:rPr>
                <w:rFonts w:ascii="Calibri" w:hAnsi="Calibri" w:cs="Calibri"/>
                <w:sz w:val="16"/>
                <w:szCs w:val="16"/>
                <w:vertAlign w:val="superscript"/>
              </w:rPr>
              <w:t>28,29</w:t>
            </w:r>
            <w:r w:rsidRPr="001F3159">
              <w:rPr>
                <w:sz w:val="16"/>
                <w:szCs w:val="16"/>
                <w:lang w:val="en-GB"/>
              </w:rPr>
              <w:fldChar w:fldCharType="end"/>
            </w:r>
          </w:p>
        </w:tc>
        <w:tc>
          <w:tcPr>
            <w:tcW w:w="423" w:type="pct"/>
          </w:tcPr>
          <w:p w14:paraId="71BE3A68" w14:textId="46A45377" w:rsidR="00D202B8" w:rsidRPr="001F3159" w:rsidRDefault="00785BD2" w:rsidP="00D73702">
            <w:pPr>
              <w:ind w:left="0"/>
              <w:rPr>
                <w:sz w:val="16"/>
                <w:szCs w:val="16"/>
                <w:lang w:val="en-GB"/>
              </w:rPr>
            </w:pPr>
            <w:r w:rsidRPr="001F3159">
              <w:rPr>
                <w:sz w:val="16"/>
                <w:szCs w:val="16"/>
                <w:lang w:val="en-GB"/>
              </w:rPr>
              <w:t>2021</w:t>
            </w:r>
          </w:p>
        </w:tc>
      </w:tr>
      <w:tr w:rsidR="00D202B8" w:rsidRPr="001F3159" w14:paraId="5410C06F" w14:textId="77777777" w:rsidTr="000B1B66">
        <w:trPr>
          <w:trHeight w:val="20"/>
        </w:trPr>
        <w:tc>
          <w:tcPr>
            <w:tcW w:w="2395" w:type="pct"/>
          </w:tcPr>
          <w:p w14:paraId="11E66DF2" w14:textId="55727F21" w:rsidR="00D202B8" w:rsidRPr="001F3159" w:rsidRDefault="00DC3626" w:rsidP="00D73702">
            <w:pPr>
              <w:ind w:left="0"/>
              <w:rPr>
                <w:sz w:val="16"/>
                <w:szCs w:val="16"/>
                <w:lang w:val="en-GB"/>
              </w:rPr>
            </w:pPr>
            <w:r w:rsidRPr="001F3159">
              <w:rPr>
                <w:sz w:val="16"/>
                <w:szCs w:val="16"/>
                <w:lang w:val="en-GB"/>
              </w:rPr>
              <w:t>From mild/mod COVID-19 to severe</w:t>
            </w:r>
          </w:p>
        </w:tc>
        <w:tc>
          <w:tcPr>
            <w:tcW w:w="598" w:type="pct"/>
          </w:tcPr>
          <w:p w14:paraId="501487B3" w14:textId="7ED8CFAF" w:rsidR="00D202B8" w:rsidRPr="001F3159" w:rsidRDefault="00DC3626" w:rsidP="00D73702">
            <w:pPr>
              <w:ind w:left="0"/>
              <w:rPr>
                <w:sz w:val="16"/>
                <w:szCs w:val="16"/>
                <w:lang w:val="en-GB"/>
              </w:rPr>
            </w:pPr>
            <w:r w:rsidRPr="001F3159">
              <w:rPr>
                <w:sz w:val="16"/>
                <w:szCs w:val="16"/>
                <w:lang w:val="en-GB"/>
              </w:rPr>
              <w:t>0.1</w:t>
            </w:r>
            <w:r w:rsidR="00523DC8" w:rsidRPr="001F3159">
              <w:rPr>
                <w:sz w:val="16"/>
                <w:szCs w:val="16"/>
                <w:lang w:val="en-GB"/>
              </w:rPr>
              <w:t>0</w:t>
            </w:r>
          </w:p>
        </w:tc>
        <w:tc>
          <w:tcPr>
            <w:tcW w:w="863" w:type="pct"/>
          </w:tcPr>
          <w:p w14:paraId="3EA6AD01" w14:textId="77777777" w:rsidR="00D202B8" w:rsidRPr="001F3159" w:rsidRDefault="00D202B8" w:rsidP="00D73702">
            <w:pPr>
              <w:ind w:left="0"/>
              <w:rPr>
                <w:sz w:val="16"/>
                <w:szCs w:val="16"/>
                <w:lang w:val="en-GB"/>
              </w:rPr>
            </w:pPr>
          </w:p>
        </w:tc>
        <w:tc>
          <w:tcPr>
            <w:tcW w:w="721" w:type="pct"/>
          </w:tcPr>
          <w:p w14:paraId="1B47C413" w14:textId="77777777" w:rsidR="00D202B8" w:rsidRPr="001F3159" w:rsidRDefault="00D202B8" w:rsidP="00D73702">
            <w:pPr>
              <w:ind w:left="0"/>
              <w:rPr>
                <w:sz w:val="16"/>
                <w:szCs w:val="16"/>
                <w:lang w:val="en-GB"/>
              </w:rPr>
            </w:pPr>
          </w:p>
        </w:tc>
        <w:tc>
          <w:tcPr>
            <w:tcW w:w="423" w:type="pct"/>
          </w:tcPr>
          <w:p w14:paraId="2B39D609" w14:textId="0196759F" w:rsidR="00D202B8" w:rsidRPr="001F3159" w:rsidRDefault="00D202B8" w:rsidP="00D73702">
            <w:pPr>
              <w:ind w:left="0"/>
              <w:rPr>
                <w:sz w:val="16"/>
                <w:szCs w:val="16"/>
                <w:lang w:val="en-GB"/>
              </w:rPr>
            </w:pPr>
          </w:p>
        </w:tc>
      </w:tr>
      <w:tr w:rsidR="00D202B8" w:rsidRPr="001F3159" w14:paraId="37E40D23" w14:textId="77777777" w:rsidTr="000B1B66">
        <w:trPr>
          <w:trHeight w:val="20"/>
        </w:trPr>
        <w:tc>
          <w:tcPr>
            <w:tcW w:w="2395" w:type="pct"/>
          </w:tcPr>
          <w:p w14:paraId="21B35019" w14:textId="10E6A5C6" w:rsidR="00D202B8" w:rsidRPr="001F3159" w:rsidRDefault="00DC3626" w:rsidP="00D73702">
            <w:pPr>
              <w:ind w:left="0"/>
              <w:rPr>
                <w:sz w:val="16"/>
                <w:szCs w:val="16"/>
                <w:lang w:val="en-GB"/>
              </w:rPr>
            </w:pPr>
            <w:r w:rsidRPr="001F3159">
              <w:rPr>
                <w:sz w:val="16"/>
                <w:szCs w:val="16"/>
                <w:lang w:val="en-GB"/>
              </w:rPr>
              <w:t>From severe COVID-19 to critical</w:t>
            </w:r>
          </w:p>
        </w:tc>
        <w:tc>
          <w:tcPr>
            <w:tcW w:w="598" w:type="pct"/>
          </w:tcPr>
          <w:p w14:paraId="77148687" w14:textId="23BBB25D" w:rsidR="00D202B8" w:rsidRPr="001F3159" w:rsidRDefault="00DC3626" w:rsidP="00D73702">
            <w:pPr>
              <w:ind w:left="0"/>
              <w:rPr>
                <w:sz w:val="16"/>
                <w:szCs w:val="16"/>
                <w:lang w:val="en-GB"/>
              </w:rPr>
            </w:pPr>
            <w:r w:rsidRPr="001F3159">
              <w:rPr>
                <w:sz w:val="16"/>
                <w:szCs w:val="16"/>
                <w:lang w:val="en-GB"/>
              </w:rPr>
              <w:t>0.03</w:t>
            </w:r>
          </w:p>
        </w:tc>
        <w:tc>
          <w:tcPr>
            <w:tcW w:w="863" w:type="pct"/>
          </w:tcPr>
          <w:p w14:paraId="6979D2C4" w14:textId="77777777" w:rsidR="00D202B8" w:rsidRPr="001F3159" w:rsidRDefault="00D202B8" w:rsidP="00D73702">
            <w:pPr>
              <w:ind w:left="0"/>
              <w:rPr>
                <w:sz w:val="16"/>
                <w:szCs w:val="16"/>
                <w:lang w:val="en-GB"/>
              </w:rPr>
            </w:pPr>
          </w:p>
        </w:tc>
        <w:tc>
          <w:tcPr>
            <w:tcW w:w="721" w:type="pct"/>
          </w:tcPr>
          <w:p w14:paraId="01978E6F" w14:textId="77777777" w:rsidR="00D202B8" w:rsidRPr="001F3159" w:rsidRDefault="00D202B8" w:rsidP="00D73702">
            <w:pPr>
              <w:ind w:left="0"/>
              <w:rPr>
                <w:sz w:val="16"/>
                <w:szCs w:val="16"/>
                <w:lang w:val="en-GB"/>
              </w:rPr>
            </w:pPr>
          </w:p>
        </w:tc>
        <w:tc>
          <w:tcPr>
            <w:tcW w:w="423" w:type="pct"/>
          </w:tcPr>
          <w:p w14:paraId="2E3FFB03" w14:textId="77777777" w:rsidR="00D202B8" w:rsidRPr="001F3159" w:rsidRDefault="00D202B8" w:rsidP="00D73702">
            <w:pPr>
              <w:ind w:left="0"/>
              <w:rPr>
                <w:sz w:val="16"/>
                <w:szCs w:val="16"/>
                <w:lang w:val="en-GB"/>
              </w:rPr>
            </w:pPr>
          </w:p>
        </w:tc>
      </w:tr>
      <w:tr w:rsidR="002860D8" w:rsidRPr="001F3159" w14:paraId="222BFE0F" w14:textId="77777777" w:rsidTr="000B1B66">
        <w:trPr>
          <w:trHeight w:val="20"/>
        </w:trPr>
        <w:tc>
          <w:tcPr>
            <w:tcW w:w="2395" w:type="pct"/>
            <w:shd w:val="clear" w:color="auto" w:fill="EDEDED" w:themeFill="accent3" w:themeFillTint="33"/>
          </w:tcPr>
          <w:p w14:paraId="0579451D" w14:textId="21DD8CE2" w:rsidR="002860D8" w:rsidRPr="001F3159" w:rsidRDefault="002860D8" w:rsidP="00D73702">
            <w:pPr>
              <w:ind w:left="0"/>
              <w:rPr>
                <w:sz w:val="16"/>
                <w:szCs w:val="16"/>
                <w:lang w:val="en-GB"/>
              </w:rPr>
            </w:pPr>
            <w:r w:rsidRPr="001F3159">
              <w:rPr>
                <w:b/>
                <w:bCs/>
                <w:sz w:val="16"/>
                <w:szCs w:val="16"/>
                <w:lang w:val="en-GB"/>
              </w:rPr>
              <w:t>Utilities</w:t>
            </w:r>
          </w:p>
        </w:tc>
        <w:tc>
          <w:tcPr>
            <w:tcW w:w="598" w:type="pct"/>
            <w:shd w:val="clear" w:color="auto" w:fill="EDEDED" w:themeFill="accent3" w:themeFillTint="33"/>
          </w:tcPr>
          <w:p w14:paraId="185D17EB" w14:textId="77777777" w:rsidR="002860D8" w:rsidRPr="001F3159" w:rsidRDefault="002860D8" w:rsidP="00D73702">
            <w:pPr>
              <w:ind w:left="0"/>
              <w:rPr>
                <w:sz w:val="16"/>
                <w:szCs w:val="16"/>
                <w:lang w:val="en-GB"/>
              </w:rPr>
            </w:pPr>
          </w:p>
        </w:tc>
        <w:tc>
          <w:tcPr>
            <w:tcW w:w="863" w:type="pct"/>
            <w:shd w:val="clear" w:color="auto" w:fill="EDEDED" w:themeFill="accent3" w:themeFillTint="33"/>
          </w:tcPr>
          <w:p w14:paraId="466B568E" w14:textId="77777777" w:rsidR="002860D8" w:rsidRPr="001F3159" w:rsidRDefault="002860D8" w:rsidP="00D73702">
            <w:pPr>
              <w:ind w:left="0"/>
              <w:rPr>
                <w:sz w:val="16"/>
                <w:szCs w:val="16"/>
                <w:lang w:val="en-GB"/>
              </w:rPr>
            </w:pPr>
          </w:p>
        </w:tc>
        <w:tc>
          <w:tcPr>
            <w:tcW w:w="721" w:type="pct"/>
            <w:shd w:val="clear" w:color="auto" w:fill="EDEDED" w:themeFill="accent3" w:themeFillTint="33"/>
          </w:tcPr>
          <w:p w14:paraId="1EE46AAB" w14:textId="77777777" w:rsidR="002860D8" w:rsidRPr="001F3159" w:rsidRDefault="002860D8" w:rsidP="00D73702">
            <w:pPr>
              <w:ind w:left="0"/>
              <w:rPr>
                <w:sz w:val="16"/>
                <w:szCs w:val="16"/>
                <w:lang w:val="en-GB"/>
              </w:rPr>
            </w:pPr>
          </w:p>
        </w:tc>
        <w:tc>
          <w:tcPr>
            <w:tcW w:w="423" w:type="pct"/>
            <w:shd w:val="clear" w:color="auto" w:fill="EDEDED" w:themeFill="accent3" w:themeFillTint="33"/>
          </w:tcPr>
          <w:p w14:paraId="3BDCD6DF" w14:textId="77777777" w:rsidR="002860D8" w:rsidRPr="001F3159" w:rsidRDefault="002860D8" w:rsidP="00D73702">
            <w:pPr>
              <w:ind w:left="0"/>
              <w:rPr>
                <w:sz w:val="16"/>
                <w:szCs w:val="16"/>
                <w:lang w:val="en-GB"/>
              </w:rPr>
            </w:pPr>
          </w:p>
        </w:tc>
      </w:tr>
      <w:tr w:rsidR="008429A8" w:rsidRPr="001F3159" w14:paraId="3B0847AA" w14:textId="77777777" w:rsidTr="000B1B66">
        <w:trPr>
          <w:trHeight w:val="20"/>
        </w:trPr>
        <w:tc>
          <w:tcPr>
            <w:tcW w:w="2395" w:type="pct"/>
          </w:tcPr>
          <w:p w14:paraId="50C6C261" w14:textId="48F84DEF" w:rsidR="008429A8" w:rsidRPr="001F3159" w:rsidRDefault="00AE4C61" w:rsidP="00D73702">
            <w:pPr>
              <w:ind w:left="0"/>
              <w:rPr>
                <w:sz w:val="16"/>
                <w:szCs w:val="16"/>
                <w:lang w:val="en-GB"/>
              </w:rPr>
            </w:pPr>
            <w:r w:rsidRPr="001F3159">
              <w:rPr>
                <w:sz w:val="16"/>
                <w:szCs w:val="16"/>
                <w:lang w:val="en-GB"/>
              </w:rPr>
              <w:t xml:space="preserve">Asymp </w:t>
            </w:r>
            <w:r w:rsidRPr="001F3159">
              <w:rPr>
                <w:sz w:val="16"/>
                <w:szCs w:val="16"/>
                <w:lang w:val="en-GB"/>
              </w:rPr>
              <w:t>COVID-19</w:t>
            </w:r>
          </w:p>
        </w:tc>
        <w:tc>
          <w:tcPr>
            <w:tcW w:w="598" w:type="pct"/>
          </w:tcPr>
          <w:p w14:paraId="741BF607" w14:textId="77777777" w:rsidR="008429A8" w:rsidRPr="001F3159" w:rsidRDefault="008429A8" w:rsidP="00D73702">
            <w:pPr>
              <w:ind w:left="0"/>
              <w:rPr>
                <w:sz w:val="16"/>
                <w:szCs w:val="16"/>
                <w:lang w:val="en-GB"/>
              </w:rPr>
            </w:pPr>
          </w:p>
        </w:tc>
        <w:tc>
          <w:tcPr>
            <w:tcW w:w="863" w:type="pct"/>
          </w:tcPr>
          <w:p w14:paraId="6FBA4EDF" w14:textId="77777777" w:rsidR="008429A8" w:rsidRPr="001F3159" w:rsidRDefault="008429A8" w:rsidP="00D73702">
            <w:pPr>
              <w:ind w:left="0"/>
              <w:rPr>
                <w:sz w:val="16"/>
                <w:szCs w:val="16"/>
                <w:lang w:val="en-GB"/>
              </w:rPr>
            </w:pPr>
          </w:p>
        </w:tc>
        <w:tc>
          <w:tcPr>
            <w:tcW w:w="721" w:type="pct"/>
          </w:tcPr>
          <w:p w14:paraId="5970A33E" w14:textId="77777777" w:rsidR="008429A8" w:rsidRPr="001F3159" w:rsidRDefault="008429A8" w:rsidP="00D73702">
            <w:pPr>
              <w:ind w:left="0"/>
              <w:rPr>
                <w:sz w:val="16"/>
                <w:szCs w:val="16"/>
                <w:lang w:val="en-GB"/>
              </w:rPr>
            </w:pPr>
          </w:p>
        </w:tc>
        <w:tc>
          <w:tcPr>
            <w:tcW w:w="423" w:type="pct"/>
          </w:tcPr>
          <w:p w14:paraId="51336075" w14:textId="77777777" w:rsidR="008429A8" w:rsidRPr="001F3159" w:rsidRDefault="008429A8" w:rsidP="00D73702">
            <w:pPr>
              <w:ind w:left="0"/>
              <w:rPr>
                <w:sz w:val="16"/>
                <w:szCs w:val="16"/>
                <w:lang w:val="en-GB"/>
              </w:rPr>
            </w:pPr>
          </w:p>
        </w:tc>
      </w:tr>
      <w:tr w:rsidR="008429A8" w:rsidRPr="001F3159" w14:paraId="27AB823C" w14:textId="77777777" w:rsidTr="000B1B66">
        <w:trPr>
          <w:trHeight w:val="20"/>
        </w:trPr>
        <w:tc>
          <w:tcPr>
            <w:tcW w:w="2395" w:type="pct"/>
          </w:tcPr>
          <w:p w14:paraId="538C2374" w14:textId="45E2EB27" w:rsidR="008429A8" w:rsidRPr="001F3159" w:rsidRDefault="00AE4C61" w:rsidP="00D73702">
            <w:pPr>
              <w:ind w:left="0"/>
              <w:rPr>
                <w:sz w:val="16"/>
                <w:szCs w:val="16"/>
                <w:lang w:val="en-GB"/>
              </w:rPr>
            </w:pPr>
            <w:r w:rsidRPr="001F3159">
              <w:rPr>
                <w:sz w:val="16"/>
                <w:szCs w:val="16"/>
                <w:lang w:val="en-GB"/>
              </w:rPr>
              <w:t xml:space="preserve">Mild/mod </w:t>
            </w:r>
            <w:r w:rsidRPr="001F3159">
              <w:rPr>
                <w:sz w:val="16"/>
                <w:szCs w:val="16"/>
                <w:lang w:val="en-GB"/>
              </w:rPr>
              <w:t>COVID-19</w:t>
            </w:r>
          </w:p>
        </w:tc>
        <w:tc>
          <w:tcPr>
            <w:tcW w:w="598" w:type="pct"/>
          </w:tcPr>
          <w:p w14:paraId="4238F7C6" w14:textId="77777777" w:rsidR="008429A8" w:rsidRPr="001F3159" w:rsidRDefault="008429A8" w:rsidP="00D73702">
            <w:pPr>
              <w:ind w:left="0"/>
              <w:rPr>
                <w:sz w:val="16"/>
                <w:szCs w:val="16"/>
                <w:lang w:val="en-GB"/>
              </w:rPr>
            </w:pPr>
          </w:p>
        </w:tc>
        <w:tc>
          <w:tcPr>
            <w:tcW w:w="863" w:type="pct"/>
          </w:tcPr>
          <w:p w14:paraId="1E865095" w14:textId="77777777" w:rsidR="008429A8" w:rsidRPr="001F3159" w:rsidRDefault="008429A8" w:rsidP="00D73702">
            <w:pPr>
              <w:ind w:left="0"/>
              <w:rPr>
                <w:sz w:val="16"/>
                <w:szCs w:val="16"/>
                <w:lang w:val="en-GB"/>
              </w:rPr>
            </w:pPr>
          </w:p>
        </w:tc>
        <w:tc>
          <w:tcPr>
            <w:tcW w:w="721" w:type="pct"/>
          </w:tcPr>
          <w:p w14:paraId="21CE1BF4" w14:textId="77777777" w:rsidR="008429A8" w:rsidRPr="001F3159" w:rsidRDefault="008429A8" w:rsidP="00D73702">
            <w:pPr>
              <w:ind w:left="0"/>
              <w:rPr>
                <w:sz w:val="16"/>
                <w:szCs w:val="16"/>
                <w:lang w:val="en-GB"/>
              </w:rPr>
            </w:pPr>
          </w:p>
        </w:tc>
        <w:tc>
          <w:tcPr>
            <w:tcW w:w="423" w:type="pct"/>
          </w:tcPr>
          <w:p w14:paraId="7B131F7A" w14:textId="77777777" w:rsidR="008429A8" w:rsidRPr="001F3159" w:rsidRDefault="008429A8" w:rsidP="00D73702">
            <w:pPr>
              <w:ind w:left="0"/>
              <w:rPr>
                <w:sz w:val="16"/>
                <w:szCs w:val="16"/>
                <w:lang w:val="en-GB"/>
              </w:rPr>
            </w:pPr>
          </w:p>
        </w:tc>
      </w:tr>
      <w:tr w:rsidR="008429A8" w:rsidRPr="001F3159" w14:paraId="27DA3F86" w14:textId="77777777" w:rsidTr="000B1B66">
        <w:trPr>
          <w:trHeight w:val="20"/>
        </w:trPr>
        <w:tc>
          <w:tcPr>
            <w:tcW w:w="2395" w:type="pct"/>
          </w:tcPr>
          <w:p w14:paraId="5F107F34" w14:textId="70F36228" w:rsidR="008429A8" w:rsidRPr="001F3159" w:rsidRDefault="00AE4C61" w:rsidP="00D73702">
            <w:pPr>
              <w:ind w:left="0"/>
              <w:rPr>
                <w:sz w:val="16"/>
                <w:szCs w:val="16"/>
                <w:lang w:val="en-GB"/>
              </w:rPr>
            </w:pPr>
            <w:r w:rsidRPr="001F3159">
              <w:rPr>
                <w:sz w:val="16"/>
                <w:szCs w:val="16"/>
                <w:lang w:val="en-GB"/>
              </w:rPr>
              <w:t xml:space="preserve">Severe </w:t>
            </w:r>
            <w:r w:rsidRPr="001F3159">
              <w:rPr>
                <w:sz w:val="16"/>
                <w:szCs w:val="16"/>
                <w:lang w:val="en-GB"/>
              </w:rPr>
              <w:t>COVID-19</w:t>
            </w:r>
          </w:p>
        </w:tc>
        <w:tc>
          <w:tcPr>
            <w:tcW w:w="598" w:type="pct"/>
          </w:tcPr>
          <w:p w14:paraId="16ECE3C1" w14:textId="77777777" w:rsidR="008429A8" w:rsidRPr="001F3159" w:rsidRDefault="008429A8" w:rsidP="00D73702">
            <w:pPr>
              <w:ind w:left="0"/>
              <w:rPr>
                <w:sz w:val="16"/>
                <w:szCs w:val="16"/>
                <w:lang w:val="en-GB"/>
              </w:rPr>
            </w:pPr>
          </w:p>
        </w:tc>
        <w:tc>
          <w:tcPr>
            <w:tcW w:w="863" w:type="pct"/>
          </w:tcPr>
          <w:p w14:paraId="18EA323E" w14:textId="77777777" w:rsidR="008429A8" w:rsidRPr="001F3159" w:rsidRDefault="008429A8" w:rsidP="00D73702">
            <w:pPr>
              <w:ind w:left="0"/>
              <w:rPr>
                <w:sz w:val="16"/>
                <w:szCs w:val="16"/>
                <w:lang w:val="en-GB"/>
              </w:rPr>
            </w:pPr>
          </w:p>
        </w:tc>
        <w:tc>
          <w:tcPr>
            <w:tcW w:w="721" w:type="pct"/>
          </w:tcPr>
          <w:p w14:paraId="6B9620CE" w14:textId="77777777" w:rsidR="008429A8" w:rsidRPr="001F3159" w:rsidRDefault="008429A8" w:rsidP="00D73702">
            <w:pPr>
              <w:ind w:left="0"/>
              <w:rPr>
                <w:sz w:val="16"/>
                <w:szCs w:val="16"/>
                <w:lang w:val="en-GB"/>
              </w:rPr>
            </w:pPr>
          </w:p>
        </w:tc>
        <w:tc>
          <w:tcPr>
            <w:tcW w:w="423" w:type="pct"/>
          </w:tcPr>
          <w:p w14:paraId="79756615" w14:textId="77777777" w:rsidR="008429A8" w:rsidRPr="001F3159" w:rsidRDefault="008429A8" w:rsidP="00D73702">
            <w:pPr>
              <w:ind w:left="0"/>
              <w:rPr>
                <w:sz w:val="16"/>
                <w:szCs w:val="16"/>
                <w:lang w:val="en-GB"/>
              </w:rPr>
            </w:pPr>
          </w:p>
        </w:tc>
      </w:tr>
      <w:tr w:rsidR="00AE4C61" w:rsidRPr="001F3159" w14:paraId="3A0277DC" w14:textId="77777777" w:rsidTr="000B1B66">
        <w:trPr>
          <w:trHeight w:val="20"/>
        </w:trPr>
        <w:tc>
          <w:tcPr>
            <w:tcW w:w="2395" w:type="pct"/>
          </w:tcPr>
          <w:p w14:paraId="1C7AEF53" w14:textId="3E99FD07" w:rsidR="00AE4C61" w:rsidRPr="001F3159" w:rsidRDefault="00AE4C61" w:rsidP="00D73702">
            <w:pPr>
              <w:ind w:left="0"/>
              <w:rPr>
                <w:sz w:val="16"/>
                <w:szCs w:val="16"/>
                <w:lang w:val="en-GB"/>
              </w:rPr>
            </w:pPr>
            <w:r w:rsidRPr="001F3159">
              <w:rPr>
                <w:sz w:val="16"/>
                <w:szCs w:val="16"/>
                <w:lang w:val="en-GB"/>
              </w:rPr>
              <w:t xml:space="preserve">Critical </w:t>
            </w:r>
            <w:r w:rsidRPr="001F3159">
              <w:rPr>
                <w:sz w:val="16"/>
                <w:szCs w:val="16"/>
                <w:lang w:val="en-GB"/>
              </w:rPr>
              <w:t>COVID-19</w:t>
            </w:r>
          </w:p>
        </w:tc>
        <w:tc>
          <w:tcPr>
            <w:tcW w:w="598" w:type="pct"/>
          </w:tcPr>
          <w:p w14:paraId="333C01F2" w14:textId="77777777" w:rsidR="00AE4C61" w:rsidRPr="001F3159" w:rsidRDefault="00AE4C61" w:rsidP="00D73702">
            <w:pPr>
              <w:ind w:left="0"/>
              <w:rPr>
                <w:sz w:val="16"/>
                <w:szCs w:val="16"/>
                <w:lang w:val="en-GB"/>
              </w:rPr>
            </w:pPr>
          </w:p>
        </w:tc>
        <w:tc>
          <w:tcPr>
            <w:tcW w:w="863" w:type="pct"/>
          </w:tcPr>
          <w:p w14:paraId="20235CA2" w14:textId="77777777" w:rsidR="00AE4C61" w:rsidRPr="001F3159" w:rsidRDefault="00AE4C61" w:rsidP="00D73702">
            <w:pPr>
              <w:ind w:left="0"/>
              <w:rPr>
                <w:sz w:val="16"/>
                <w:szCs w:val="16"/>
                <w:lang w:val="en-GB"/>
              </w:rPr>
            </w:pPr>
          </w:p>
        </w:tc>
        <w:tc>
          <w:tcPr>
            <w:tcW w:w="721" w:type="pct"/>
          </w:tcPr>
          <w:p w14:paraId="07A583C7" w14:textId="77777777" w:rsidR="00AE4C61" w:rsidRPr="001F3159" w:rsidRDefault="00AE4C61" w:rsidP="00D73702">
            <w:pPr>
              <w:ind w:left="0"/>
              <w:rPr>
                <w:sz w:val="16"/>
                <w:szCs w:val="16"/>
                <w:lang w:val="en-GB"/>
              </w:rPr>
            </w:pPr>
          </w:p>
        </w:tc>
        <w:tc>
          <w:tcPr>
            <w:tcW w:w="423" w:type="pct"/>
          </w:tcPr>
          <w:p w14:paraId="73BD235C" w14:textId="77777777" w:rsidR="00AE4C61" w:rsidRPr="001F3159" w:rsidRDefault="00AE4C61" w:rsidP="00D73702">
            <w:pPr>
              <w:ind w:left="0"/>
              <w:rPr>
                <w:sz w:val="16"/>
                <w:szCs w:val="16"/>
                <w:lang w:val="en-GB"/>
              </w:rPr>
            </w:pPr>
          </w:p>
        </w:tc>
      </w:tr>
      <w:tr w:rsidR="00915333" w:rsidRPr="001F3159" w14:paraId="5DE22A01" w14:textId="77777777" w:rsidTr="000B1B66">
        <w:trPr>
          <w:trHeight w:val="20"/>
        </w:trPr>
        <w:tc>
          <w:tcPr>
            <w:tcW w:w="5000" w:type="pct"/>
            <w:gridSpan w:val="5"/>
            <w:shd w:val="clear" w:color="auto" w:fill="EDEDED" w:themeFill="accent3" w:themeFillTint="33"/>
          </w:tcPr>
          <w:p w14:paraId="7807CA20" w14:textId="09CBBBFC" w:rsidR="00915333" w:rsidRPr="001F3159" w:rsidRDefault="00915333" w:rsidP="00D73702">
            <w:pPr>
              <w:ind w:left="0"/>
              <w:rPr>
                <w:b/>
                <w:bCs/>
                <w:sz w:val="16"/>
                <w:szCs w:val="16"/>
                <w:lang w:val="en-GB"/>
              </w:rPr>
            </w:pPr>
            <w:r w:rsidRPr="001F3159">
              <w:rPr>
                <w:b/>
                <w:bCs/>
                <w:sz w:val="16"/>
                <w:szCs w:val="16"/>
                <w:lang w:val="en-GB"/>
              </w:rPr>
              <w:t>Disability weights</w:t>
            </w:r>
          </w:p>
        </w:tc>
      </w:tr>
      <w:tr w:rsidR="00915333" w:rsidRPr="001F3159" w14:paraId="08E0F75D" w14:textId="77777777" w:rsidTr="000B1B66">
        <w:trPr>
          <w:trHeight w:val="20"/>
        </w:trPr>
        <w:tc>
          <w:tcPr>
            <w:tcW w:w="2395" w:type="pct"/>
          </w:tcPr>
          <w:p w14:paraId="2BE22838" w14:textId="37CF9B73" w:rsidR="00915333" w:rsidRPr="001F3159" w:rsidRDefault="00915333" w:rsidP="00915333">
            <w:pPr>
              <w:ind w:left="0"/>
              <w:rPr>
                <w:sz w:val="16"/>
                <w:szCs w:val="16"/>
                <w:lang w:val="en-GB"/>
              </w:rPr>
            </w:pPr>
            <w:r w:rsidRPr="001F3159">
              <w:rPr>
                <w:sz w:val="16"/>
                <w:szCs w:val="16"/>
                <w:lang w:val="en-GB"/>
              </w:rPr>
              <w:t>Asymp COVID-19</w:t>
            </w:r>
          </w:p>
        </w:tc>
        <w:tc>
          <w:tcPr>
            <w:tcW w:w="598" w:type="pct"/>
          </w:tcPr>
          <w:p w14:paraId="1E2DBC4B" w14:textId="77777777" w:rsidR="00915333" w:rsidRPr="001F3159" w:rsidRDefault="00915333" w:rsidP="00915333">
            <w:pPr>
              <w:ind w:left="0"/>
              <w:rPr>
                <w:sz w:val="16"/>
                <w:szCs w:val="16"/>
                <w:lang w:val="en-GB"/>
              </w:rPr>
            </w:pPr>
          </w:p>
        </w:tc>
        <w:tc>
          <w:tcPr>
            <w:tcW w:w="863" w:type="pct"/>
          </w:tcPr>
          <w:p w14:paraId="5B9D5BD1" w14:textId="77777777" w:rsidR="00915333" w:rsidRPr="001F3159" w:rsidRDefault="00915333" w:rsidP="00915333">
            <w:pPr>
              <w:ind w:left="0"/>
              <w:rPr>
                <w:sz w:val="16"/>
                <w:szCs w:val="16"/>
                <w:lang w:val="en-GB"/>
              </w:rPr>
            </w:pPr>
          </w:p>
        </w:tc>
        <w:tc>
          <w:tcPr>
            <w:tcW w:w="721" w:type="pct"/>
          </w:tcPr>
          <w:p w14:paraId="3ED84136" w14:textId="77777777" w:rsidR="00915333" w:rsidRPr="001F3159" w:rsidRDefault="00915333" w:rsidP="00915333">
            <w:pPr>
              <w:ind w:left="0"/>
              <w:rPr>
                <w:sz w:val="16"/>
                <w:szCs w:val="16"/>
                <w:lang w:val="en-GB"/>
              </w:rPr>
            </w:pPr>
          </w:p>
        </w:tc>
        <w:tc>
          <w:tcPr>
            <w:tcW w:w="423" w:type="pct"/>
          </w:tcPr>
          <w:p w14:paraId="094A77C2" w14:textId="77777777" w:rsidR="00915333" w:rsidRPr="001F3159" w:rsidRDefault="00915333" w:rsidP="00915333">
            <w:pPr>
              <w:ind w:left="0"/>
              <w:rPr>
                <w:sz w:val="16"/>
                <w:szCs w:val="16"/>
                <w:lang w:val="en-GB"/>
              </w:rPr>
            </w:pPr>
          </w:p>
        </w:tc>
      </w:tr>
      <w:tr w:rsidR="00915333" w:rsidRPr="001F3159" w14:paraId="660ED02D" w14:textId="77777777" w:rsidTr="000B1B66">
        <w:trPr>
          <w:trHeight w:val="20"/>
        </w:trPr>
        <w:tc>
          <w:tcPr>
            <w:tcW w:w="2395" w:type="pct"/>
          </w:tcPr>
          <w:p w14:paraId="3DFC0477" w14:textId="328B5C73" w:rsidR="00915333" w:rsidRPr="001F3159" w:rsidRDefault="00915333" w:rsidP="00915333">
            <w:pPr>
              <w:ind w:left="0"/>
              <w:rPr>
                <w:sz w:val="16"/>
                <w:szCs w:val="16"/>
                <w:lang w:val="en-GB"/>
              </w:rPr>
            </w:pPr>
            <w:r w:rsidRPr="001F3159">
              <w:rPr>
                <w:sz w:val="16"/>
                <w:szCs w:val="16"/>
                <w:lang w:val="en-GB"/>
              </w:rPr>
              <w:t>Mild/mod COVID-19</w:t>
            </w:r>
          </w:p>
        </w:tc>
        <w:tc>
          <w:tcPr>
            <w:tcW w:w="598" w:type="pct"/>
          </w:tcPr>
          <w:p w14:paraId="0844149D" w14:textId="77777777" w:rsidR="00915333" w:rsidRPr="001F3159" w:rsidRDefault="00915333" w:rsidP="00915333">
            <w:pPr>
              <w:ind w:left="0"/>
              <w:rPr>
                <w:sz w:val="16"/>
                <w:szCs w:val="16"/>
                <w:lang w:val="en-GB"/>
              </w:rPr>
            </w:pPr>
          </w:p>
        </w:tc>
        <w:tc>
          <w:tcPr>
            <w:tcW w:w="863" w:type="pct"/>
          </w:tcPr>
          <w:p w14:paraId="36D7742C" w14:textId="77777777" w:rsidR="00915333" w:rsidRPr="001F3159" w:rsidRDefault="00915333" w:rsidP="00915333">
            <w:pPr>
              <w:ind w:left="0"/>
              <w:rPr>
                <w:sz w:val="16"/>
                <w:szCs w:val="16"/>
                <w:lang w:val="en-GB"/>
              </w:rPr>
            </w:pPr>
          </w:p>
        </w:tc>
        <w:tc>
          <w:tcPr>
            <w:tcW w:w="721" w:type="pct"/>
          </w:tcPr>
          <w:p w14:paraId="02908B1D" w14:textId="77777777" w:rsidR="00915333" w:rsidRPr="001F3159" w:rsidRDefault="00915333" w:rsidP="00915333">
            <w:pPr>
              <w:ind w:left="0"/>
              <w:rPr>
                <w:sz w:val="16"/>
                <w:szCs w:val="16"/>
                <w:lang w:val="en-GB"/>
              </w:rPr>
            </w:pPr>
          </w:p>
        </w:tc>
        <w:tc>
          <w:tcPr>
            <w:tcW w:w="423" w:type="pct"/>
          </w:tcPr>
          <w:p w14:paraId="7E3583D0" w14:textId="77777777" w:rsidR="00915333" w:rsidRPr="001F3159" w:rsidRDefault="00915333" w:rsidP="00915333">
            <w:pPr>
              <w:ind w:left="0"/>
              <w:rPr>
                <w:sz w:val="16"/>
                <w:szCs w:val="16"/>
                <w:lang w:val="en-GB"/>
              </w:rPr>
            </w:pPr>
          </w:p>
        </w:tc>
      </w:tr>
      <w:tr w:rsidR="00915333" w:rsidRPr="001F3159" w14:paraId="70FA1EA2" w14:textId="77777777" w:rsidTr="000B1B66">
        <w:trPr>
          <w:trHeight w:val="20"/>
        </w:trPr>
        <w:tc>
          <w:tcPr>
            <w:tcW w:w="2395" w:type="pct"/>
          </w:tcPr>
          <w:p w14:paraId="6F54F4C8" w14:textId="2766812B" w:rsidR="00915333" w:rsidRPr="001F3159" w:rsidRDefault="00915333" w:rsidP="00915333">
            <w:pPr>
              <w:ind w:left="0"/>
              <w:rPr>
                <w:sz w:val="16"/>
                <w:szCs w:val="16"/>
                <w:lang w:val="en-GB"/>
              </w:rPr>
            </w:pPr>
            <w:r w:rsidRPr="001F3159">
              <w:rPr>
                <w:sz w:val="16"/>
                <w:szCs w:val="16"/>
                <w:lang w:val="en-GB"/>
              </w:rPr>
              <w:t>Severe COVID-19</w:t>
            </w:r>
          </w:p>
        </w:tc>
        <w:tc>
          <w:tcPr>
            <w:tcW w:w="598" w:type="pct"/>
          </w:tcPr>
          <w:p w14:paraId="293F90F2" w14:textId="77777777" w:rsidR="00915333" w:rsidRPr="001F3159" w:rsidRDefault="00915333" w:rsidP="00915333">
            <w:pPr>
              <w:ind w:left="0"/>
              <w:rPr>
                <w:sz w:val="16"/>
                <w:szCs w:val="16"/>
                <w:lang w:val="en-GB"/>
              </w:rPr>
            </w:pPr>
          </w:p>
        </w:tc>
        <w:tc>
          <w:tcPr>
            <w:tcW w:w="863" w:type="pct"/>
          </w:tcPr>
          <w:p w14:paraId="06A86A29" w14:textId="77777777" w:rsidR="00915333" w:rsidRPr="001F3159" w:rsidRDefault="00915333" w:rsidP="00915333">
            <w:pPr>
              <w:ind w:left="0"/>
              <w:rPr>
                <w:sz w:val="16"/>
                <w:szCs w:val="16"/>
                <w:lang w:val="en-GB"/>
              </w:rPr>
            </w:pPr>
          </w:p>
        </w:tc>
        <w:tc>
          <w:tcPr>
            <w:tcW w:w="721" w:type="pct"/>
          </w:tcPr>
          <w:p w14:paraId="05FD5CFF" w14:textId="77777777" w:rsidR="00915333" w:rsidRPr="001F3159" w:rsidRDefault="00915333" w:rsidP="00915333">
            <w:pPr>
              <w:ind w:left="0"/>
              <w:rPr>
                <w:sz w:val="16"/>
                <w:szCs w:val="16"/>
                <w:lang w:val="en-GB"/>
              </w:rPr>
            </w:pPr>
          </w:p>
        </w:tc>
        <w:tc>
          <w:tcPr>
            <w:tcW w:w="423" w:type="pct"/>
          </w:tcPr>
          <w:p w14:paraId="63E55BA8" w14:textId="77777777" w:rsidR="00915333" w:rsidRPr="001F3159" w:rsidRDefault="00915333" w:rsidP="00915333">
            <w:pPr>
              <w:ind w:left="0"/>
              <w:rPr>
                <w:sz w:val="16"/>
                <w:szCs w:val="16"/>
                <w:lang w:val="en-GB"/>
              </w:rPr>
            </w:pPr>
          </w:p>
        </w:tc>
      </w:tr>
      <w:tr w:rsidR="00915333" w:rsidRPr="001F3159" w14:paraId="4EAD1203" w14:textId="77777777" w:rsidTr="000B1B66">
        <w:trPr>
          <w:trHeight w:val="20"/>
        </w:trPr>
        <w:tc>
          <w:tcPr>
            <w:tcW w:w="2395" w:type="pct"/>
          </w:tcPr>
          <w:p w14:paraId="4C51B56E" w14:textId="22761CD9" w:rsidR="00915333" w:rsidRPr="001F3159" w:rsidRDefault="00915333" w:rsidP="00915333">
            <w:pPr>
              <w:ind w:left="0"/>
              <w:rPr>
                <w:sz w:val="16"/>
                <w:szCs w:val="16"/>
                <w:lang w:val="en-GB"/>
              </w:rPr>
            </w:pPr>
            <w:r w:rsidRPr="001F3159">
              <w:rPr>
                <w:sz w:val="16"/>
                <w:szCs w:val="16"/>
                <w:lang w:val="en-GB"/>
              </w:rPr>
              <w:t>Critical COVID-19</w:t>
            </w:r>
          </w:p>
        </w:tc>
        <w:tc>
          <w:tcPr>
            <w:tcW w:w="598" w:type="pct"/>
          </w:tcPr>
          <w:p w14:paraId="75AA179F" w14:textId="77777777" w:rsidR="00915333" w:rsidRPr="001F3159" w:rsidRDefault="00915333" w:rsidP="00915333">
            <w:pPr>
              <w:ind w:left="0"/>
              <w:rPr>
                <w:sz w:val="16"/>
                <w:szCs w:val="16"/>
                <w:lang w:val="en-GB"/>
              </w:rPr>
            </w:pPr>
          </w:p>
        </w:tc>
        <w:tc>
          <w:tcPr>
            <w:tcW w:w="863" w:type="pct"/>
          </w:tcPr>
          <w:p w14:paraId="195926B9" w14:textId="77777777" w:rsidR="00915333" w:rsidRPr="001F3159" w:rsidRDefault="00915333" w:rsidP="00915333">
            <w:pPr>
              <w:ind w:left="0"/>
              <w:rPr>
                <w:sz w:val="16"/>
                <w:szCs w:val="16"/>
                <w:lang w:val="en-GB"/>
              </w:rPr>
            </w:pPr>
          </w:p>
        </w:tc>
        <w:tc>
          <w:tcPr>
            <w:tcW w:w="721" w:type="pct"/>
          </w:tcPr>
          <w:p w14:paraId="0C2F59B5" w14:textId="77777777" w:rsidR="00915333" w:rsidRPr="001F3159" w:rsidRDefault="00915333" w:rsidP="00915333">
            <w:pPr>
              <w:ind w:left="0"/>
              <w:rPr>
                <w:sz w:val="16"/>
                <w:szCs w:val="16"/>
                <w:lang w:val="en-GB"/>
              </w:rPr>
            </w:pPr>
          </w:p>
        </w:tc>
        <w:tc>
          <w:tcPr>
            <w:tcW w:w="423" w:type="pct"/>
          </w:tcPr>
          <w:p w14:paraId="0F9127B5" w14:textId="77777777" w:rsidR="00915333" w:rsidRPr="001F3159" w:rsidRDefault="00915333" w:rsidP="00915333">
            <w:pPr>
              <w:ind w:left="0"/>
              <w:rPr>
                <w:sz w:val="16"/>
                <w:szCs w:val="16"/>
                <w:lang w:val="en-GB"/>
              </w:rPr>
            </w:pPr>
          </w:p>
        </w:tc>
      </w:tr>
      <w:tr w:rsidR="004D37A3" w:rsidRPr="001F3159" w14:paraId="7EB521AD" w14:textId="77777777" w:rsidTr="007C4FB2">
        <w:trPr>
          <w:trHeight w:val="20"/>
        </w:trPr>
        <w:tc>
          <w:tcPr>
            <w:tcW w:w="2395" w:type="pct"/>
            <w:shd w:val="clear" w:color="auto" w:fill="EDEDED" w:themeFill="accent3" w:themeFillTint="33"/>
          </w:tcPr>
          <w:p w14:paraId="318B734A" w14:textId="77777777" w:rsidR="004D37A3" w:rsidRPr="001F3159" w:rsidRDefault="004D37A3" w:rsidP="007C4FB2">
            <w:pPr>
              <w:ind w:left="0"/>
              <w:rPr>
                <w:b/>
                <w:bCs/>
                <w:sz w:val="16"/>
                <w:szCs w:val="16"/>
                <w:lang w:val="en-GB"/>
              </w:rPr>
            </w:pPr>
            <w:r w:rsidRPr="001F3159">
              <w:rPr>
                <w:b/>
                <w:bCs/>
                <w:sz w:val="16"/>
                <w:szCs w:val="16"/>
                <w:lang w:val="en-GB"/>
              </w:rPr>
              <w:t>Absenteeism days</w:t>
            </w:r>
          </w:p>
        </w:tc>
        <w:tc>
          <w:tcPr>
            <w:tcW w:w="598" w:type="pct"/>
            <w:shd w:val="clear" w:color="auto" w:fill="EDEDED" w:themeFill="accent3" w:themeFillTint="33"/>
          </w:tcPr>
          <w:p w14:paraId="4DD2BE9D" w14:textId="77777777" w:rsidR="004D37A3" w:rsidRPr="001F3159" w:rsidRDefault="004D37A3" w:rsidP="007C4FB2">
            <w:pPr>
              <w:ind w:left="0"/>
              <w:rPr>
                <w:b/>
                <w:bCs/>
                <w:sz w:val="16"/>
                <w:szCs w:val="16"/>
                <w:lang w:val="en-GB"/>
              </w:rPr>
            </w:pPr>
          </w:p>
        </w:tc>
        <w:tc>
          <w:tcPr>
            <w:tcW w:w="863" w:type="pct"/>
            <w:shd w:val="clear" w:color="auto" w:fill="EDEDED" w:themeFill="accent3" w:themeFillTint="33"/>
          </w:tcPr>
          <w:p w14:paraId="28E779FC" w14:textId="77777777" w:rsidR="004D37A3" w:rsidRPr="001F3159" w:rsidRDefault="004D37A3" w:rsidP="007C4FB2">
            <w:pPr>
              <w:ind w:left="0"/>
              <w:rPr>
                <w:b/>
                <w:bCs/>
                <w:sz w:val="16"/>
                <w:szCs w:val="16"/>
                <w:lang w:val="en-GB"/>
              </w:rPr>
            </w:pPr>
          </w:p>
        </w:tc>
        <w:tc>
          <w:tcPr>
            <w:tcW w:w="721" w:type="pct"/>
            <w:shd w:val="clear" w:color="auto" w:fill="EDEDED" w:themeFill="accent3" w:themeFillTint="33"/>
          </w:tcPr>
          <w:p w14:paraId="533F7011" w14:textId="77777777" w:rsidR="004D37A3" w:rsidRPr="001F3159" w:rsidRDefault="004D37A3" w:rsidP="007C4FB2">
            <w:pPr>
              <w:ind w:left="0"/>
              <w:rPr>
                <w:b/>
                <w:bCs/>
                <w:sz w:val="16"/>
                <w:szCs w:val="16"/>
                <w:lang w:val="en-GB"/>
              </w:rPr>
            </w:pPr>
          </w:p>
        </w:tc>
        <w:tc>
          <w:tcPr>
            <w:tcW w:w="423" w:type="pct"/>
            <w:shd w:val="clear" w:color="auto" w:fill="EDEDED" w:themeFill="accent3" w:themeFillTint="33"/>
          </w:tcPr>
          <w:p w14:paraId="43BB2CDE" w14:textId="77777777" w:rsidR="004D37A3" w:rsidRPr="001F3159" w:rsidRDefault="004D37A3" w:rsidP="007C4FB2">
            <w:pPr>
              <w:ind w:left="0"/>
              <w:rPr>
                <w:b/>
                <w:bCs/>
                <w:sz w:val="16"/>
                <w:szCs w:val="16"/>
                <w:lang w:val="en-GB"/>
              </w:rPr>
            </w:pPr>
          </w:p>
        </w:tc>
      </w:tr>
      <w:tr w:rsidR="004D37A3" w:rsidRPr="001F3159" w14:paraId="4502EC05" w14:textId="77777777" w:rsidTr="007C4FB2">
        <w:trPr>
          <w:trHeight w:val="20"/>
        </w:trPr>
        <w:tc>
          <w:tcPr>
            <w:tcW w:w="2395" w:type="pct"/>
          </w:tcPr>
          <w:p w14:paraId="05D9F2AC" w14:textId="77777777" w:rsidR="004D37A3" w:rsidRPr="001F3159" w:rsidRDefault="004D37A3" w:rsidP="007C4FB2">
            <w:pPr>
              <w:ind w:left="0"/>
              <w:rPr>
                <w:sz w:val="16"/>
                <w:szCs w:val="16"/>
                <w:lang w:val="en-GB"/>
              </w:rPr>
            </w:pPr>
            <w:r w:rsidRPr="001F3159">
              <w:rPr>
                <w:sz w:val="16"/>
                <w:szCs w:val="16"/>
                <w:lang w:val="en-GB"/>
              </w:rPr>
              <w:t>Asymp COVID-19</w:t>
            </w:r>
          </w:p>
        </w:tc>
        <w:tc>
          <w:tcPr>
            <w:tcW w:w="598" w:type="pct"/>
          </w:tcPr>
          <w:p w14:paraId="153F57AD" w14:textId="77777777" w:rsidR="004D37A3" w:rsidRPr="001F3159" w:rsidRDefault="004D37A3" w:rsidP="007C4FB2">
            <w:pPr>
              <w:ind w:left="0"/>
              <w:rPr>
                <w:sz w:val="16"/>
                <w:szCs w:val="16"/>
                <w:lang w:val="en-GB"/>
              </w:rPr>
            </w:pPr>
          </w:p>
        </w:tc>
        <w:tc>
          <w:tcPr>
            <w:tcW w:w="863" w:type="pct"/>
          </w:tcPr>
          <w:p w14:paraId="3A133B40" w14:textId="77777777" w:rsidR="004D37A3" w:rsidRPr="001F3159" w:rsidRDefault="004D37A3" w:rsidP="007C4FB2">
            <w:pPr>
              <w:ind w:left="0"/>
              <w:rPr>
                <w:sz w:val="16"/>
                <w:szCs w:val="16"/>
                <w:lang w:val="en-GB"/>
              </w:rPr>
            </w:pPr>
          </w:p>
        </w:tc>
        <w:tc>
          <w:tcPr>
            <w:tcW w:w="721" w:type="pct"/>
          </w:tcPr>
          <w:p w14:paraId="0ED4D0F5" w14:textId="77777777" w:rsidR="004D37A3" w:rsidRPr="001F3159" w:rsidRDefault="004D37A3" w:rsidP="007C4FB2">
            <w:pPr>
              <w:ind w:left="0"/>
              <w:rPr>
                <w:sz w:val="16"/>
                <w:szCs w:val="16"/>
                <w:lang w:val="en-GB"/>
              </w:rPr>
            </w:pPr>
          </w:p>
        </w:tc>
        <w:tc>
          <w:tcPr>
            <w:tcW w:w="423" w:type="pct"/>
          </w:tcPr>
          <w:p w14:paraId="1560FE27" w14:textId="77777777" w:rsidR="004D37A3" w:rsidRPr="001F3159" w:rsidRDefault="004D37A3" w:rsidP="007C4FB2">
            <w:pPr>
              <w:ind w:left="0"/>
              <w:rPr>
                <w:sz w:val="16"/>
                <w:szCs w:val="16"/>
                <w:lang w:val="en-GB"/>
              </w:rPr>
            </w:pPr>
          </w:p>
        </w:tc>
      </w:tr>
      <w:tr w:rsidR="004D37A3" w:rsidRPr="001F3159" w14:paraId="56B3A799" w14:textId="77777777" w:rsidTr="007C4FB2">
        <w:trPr>
          <w:trHeight w:val="20"/>
        </w:trPr>
        <w:tc>
          <w:tcPr>
            <w:tcW w:w="2395" w:type="pct"/>
          </w:tcPr>
          <w:p w14:paraId="1C254B18" w14:textId="77777777" w:rsidR="004D37A3" w:rsidRPr="001F3159" w:rsidRDefault="004D37A3" w:rsidP="007C4FB2">
            <w:pPr>
              <w:ind w:left="0"/>
              <w:rPr>
                <w:sz w:val="16"/>
                <w:szCs w:val="16"/>
                <w:lang w:val="en-GB"/>
              </w:rPr>
            </w:pPr>
            <w:r w:rsidRPr="001F3159">
              <w:rPr>
                <w:sz w:val="16"/>
                <w:szCs w:val="16"/>
                <w:lang w:val="en-GB"/>
              </w:rPr>
              <w:t>Mild/mod COVID-19</w:t>
            </w:r>
          </w:p>
        </w:tc>
        <w:tc>
          <w:tcPr>
            <w:tcW w:w="598" w:type="pct"/>
          </w:tcPr>
          <w:p w14:paraId="5DBE91F0" w14:textId="77777777" w:rsidR="004D37A3" w:rsidRPr="001F3159" w:rsidRDefault="004D37A3" w:rsidP="007C4FB2">
            <w:pPr>
              <w:ind w:left="0"/>
              <w:rPr>
                <w:sz w:val="16"/>
                <w:szCs w:val="16"/>
                <w:lang w:val="en-GB"/>
              </w:rPr>
            </w:pPr>
          </w:p>
        </w:tc>
        <w:tc>
          <w:tcPr>
            <w:tcW w:w="863" w:type="pct"/>
          </w:tcPr>
          <w:p w14:paraId="72F18332" w14:textId="77777777" w:rsidR="004D37A3" w:rsidRPr="001F3159" w:rsidRDefault="004D37A3" w:rsidP="007C4FB2">
            <w:pPr>
              <w:ind w:left="0"/>
              <w:rPr>
                <w:sz w:val="16"/>
                <w:szCs w:val="16"/>
                <w:lang w:val="en-GB"/>
              </w:rPr>
            </w:pPr>
          </w:p>
        </w:tc>
        <w:tc>
          <w:tcPr>
            <w:tcW w:w="721" w:type="pct"/>
          </w:tcPr>
          <w:p w14:paraId="3642FB4B" w14:textId="77777777" w:rsidR="004D37A3" w:rsidRPr="001F3159" w:rsidRDefault="004D37A3" w:rsidP="007C4FB2">
            <w:pPr>
              <w:ind w:left="0"/>
              <w:rPr>
                <w:sz w:val="16"/>
                <w:szCs w:val="16"/>
                <w:lang w:val="en-GB"/>
              </w:rPr>
            </w:pPr>
          </w:p>
        </w:tc>
        <w:tc>
          <w:tcPr>
            <w:tcW w:w="423" w:type="pct"/>
          </w:tcPr>
          <w:p w14:paraId="42AF35E7" w14:textId="77777777" w:rsidR="004D37A3" w:rsidRPr="001F3159" w:rsidRDefault="004D37A3" w:rsidP="007C4FB2">
            <w:pPr>
              <w:ind w:left="0"/>
              <w:rPr>
                <w:sz w:val="16"/>
                <w:szCs w:val="16"/>
                <w:lang w:val="en-GB"/>
              </w:rPr>
            </w:pPr>
          </w:p>
        </w:tc>
      </w:tr>
      <w:tr w:rsidR="004D37A3" w:rsidRPr="001F3159" w14:paraId="24B7CFE6" w14:textId="77777777" w:rsidTr="007C4FB2">
        <w:trPr>
          <w:trHeight w:val="20"/>
        </w:trPr>
        <w:tc>
          <w:tcPr>
            <w:tcW w:w="2395" w:type="pct"/>
          </w:tcPr>
          <w:p w14:paraId="453179C4" w14:textId="77777777" w:rsidR="004D37A3" w:rsidRPr="001F3159" w:rsidRDefault="004D37A3" w:rsidP="007C4FB2">
            <w:pPr>
              <w:ind w:left="0"/>
              <w:rPr>
                <w:sz w:val="16"/>
                <w:szCs w:val="16"/>
                <w:lang w:val="en-GB"/>
              </w:rPr>
            </w:pPr>
            <w:r w:rsidRPr="001F3159">
              <w:rPr>
                <w:sz w:val="16"/>
                <w:szCs w:val="16"/>
                <w:lang w:val="en-GB"/>
              </w:rPr>
              <w:t>Severe COVID-19</w:t>
            </w:r>
          </w:p>
        </w:tc>
        <w:tc>
          <w:tcPr>
            <w:tcW w:w="598" w:type="pct"/>
          </w:tcPr>
          <w:p w14:paraId="16191E3C" w14:textId="77777777" w:rsidR="004D37A3" w:rsidRPr="001F3159" w:rsidRDefault="004D37A3" w:rsidP="007C4FB2">
            <w:pPr>
              <w:ind w:left="0"/>
              <w:rPr>
                <w:sz w:val="16"/>
                <w:szCs w:val="16"/>
                <w:lang w:val="en-GB"/>
              </w:rPr>
            </w:pPr>
          </w:p>
        </w:tc>
        <w:tc>
          <w:tcPr>
            <w:tcW w:w="863" w:type="pct"/>
          </w:tcPr>
          <w:p w14:paraId="5CA9A8F4" w14:textId="77777777" w:rsidR="004D37A3" w:rsidRPr="001F3159" w:rsidRDefault="004D37A3" w:rsidP="007C4FB2">
            <w:pPr>
              <w:ind w:left="0"/>
              <w:rPr>
                <w:sz w:val="16"/>
                <w:szCs w:val="16"/>
                <w:lang w:val="en-GB"/>
              </w:rPr>
            </w:pPr>
          </w:p>
        </w:tc>
        <w:tc>
          <w:tcPr>
            <w:tcW w:w="721" w:type="pct"/>
          </w:tcPr>
          <w:p w14:paraId="73C38B94" w14:textId="77777777" w:rsidR="004D37A3" w:rsidRPr="001F3159" w:rsidRDefault="004D37A3" w:rsidP="007C4FB2">
            <w:pPr>
              <w:ind w:left="0"/>
              <w:rPr>
                <w:sz w:val="16"/>
                <w:szCs w:val="16"/>
                <w:lang w:val="en-GB"/>
              </w:rPr>
            </w:pPr>
          </w:p>
        </w:tc>
        <w:tc>
          <w:tcPr>
            <w:tcW w:w="423" w:type="pct"/>
          </w:tcPr>
          <w:p w14:paraId="2FCE9F08" w14:textId="77777777" w:rsidR="004D37A3" w:rsidRPr="001F3159" w:rsidRDefault="004D37A3" w:rsidP="007C4FB2">
            <w:pPr>
              <w:ind w:left="0"/>
              <w:rPr>
                <w:sz w:val="16"/>
                <w:szCs w:val="16"/>
                <w:lang w:val="en-GB"/>
              </w:rPr>
            </w:pPr>
          </w:p>
        </w:tc>
      </w:tr>
      <w:tr w:rsidR="004D37A3" w:rsidRPr="001F3159" w14:paraId="0F82D5FE" w14:textId="77777777" w:rsidTr="007C4FB2">
        <w:trPr>
          <w:trHeight w:val="20"/>
        </w:trPr>
        <w:tc>
          <w:tcPr>
            <w:tcW w:w="2395" w:type="pct"/>
          </w:tcPr>
          <w:p w14:paraId="3AAF63CD" w14:textId="77777777" w:rsidR="004D37A3" w:rsidRPr="001F3159" w:rsidRDefault="004D37A3" w:rsidP="007C4FB2">
            <w:pPr>
              <w:ind w:left="0"/>
              <w:rPr>
                <w:sz w:val="16"/>
                <w:szCs w:val="16"/>
                <w:lang w:val="en-GB"/>
              </w:rPr>
            </w:pPr>
            <w:r w:rsidRPr="001F3159">
              <w:rPr>
                <w:sz w:val="16"/>
                <w:szCs w:val="16"/>
                <w:lang w:val="en-GB"/>
              </w:rPr>
              <w:t>Critical COVID-19</w:t>
            </w:r>
          </w:p>
        </w:tc>
        <w:tc>
          <w:tcPr>
            <w:tcW w:w="598" w:type="pct"/>
          </w:tcPr>
          <w:p w14:paraId="7594809E" w14:textId="77777777" w:rsidR="004D37A3" w:rsidRPr="001F3159" w:rsidRDefault="004D37A3" w:rsidP="007C4FB2">
            <w:pPr>
              <w:ind w:left="0"/>
              <w:rPr>
                <w:sz w:val="16"/>
                <w:szCs w:val="16"/>
                <w:lang w:val="en-GB"/>
              </w:rPr>
            </w:pPr>
          </w:p>
        </w:tc>
        <w:tc>
          <w:tcPr>
            <w:tcW w:w="863" w:type="pct"/>
          </w:tcPr>
          <w:p w14:paraId="5D1722BC" w14:textId="77777777" w:rsidR="004D37A3" w:rsidRPr="001F3159" w:rsidRDefault="004D37A3" w:rsidP="007C4FB2">
            <w:pPr>
              <w:ind w:left="0"/>
              <w:rPr>
                <w:sz w:val="16"/>
                <w:szCs w:val="16"/>
                <w:lang w:val="en-GB"/>
              </w:rPr>
            </w:pPr>
          </w:p>
        </w:tc>
        <w:tc>
          <w:tcPr>
            <w:tcW w:w="721" w:type="pct"/>
          </w:tcPr>
          <w:p w14:paraId="5B9C7185" w14:textId="77777777" w:rsidR="004D37A3" w:rsidRPr="001F3159" w:rsidRDefault="004D37A3" w:rsidP="007C4FB2">
            <w:pPr>
              <w:ind w:left="0"/>
              <w:rPr>
                <w:sz w:val="16"/>
                <w:szCs w:val="16"/>
                <w:lang w:val="en-GB"/>
              </w:rPr>
            </w:pPr>
          </w:p>
        </w:tc>
        <w:tc>
          <w:tcPr>
            <w:tcW w:w="423" w:type="pct"/>
          </w:tcPr>
          <w:p w14:paraId="1BBBD263" w14:textId="77777777" w:rsidR="004D37A3" w:rsidRPr="001F3159" w:rsidRDefault="004D37A3" w:rsidP="007C4FB2">
            <w:pPr>
              <w:ind w:left="0"/>
              <w:rPr>
                <w:sz w:val="16"/>
                <w:szCs w:val="16"/>
                <w:lang w:val="en-GB"/>
              </w:rPr>
            </w:pPr>
          </w:p>
        </w:tc>
      </w:tr>
      <w:tr w:rsidR="00D9655F" w:rsidRPr="001F3159" w14:paraId="53E309ED" w14:textId="77777777" w:rsidTr="000B1B66">
        <w:trPr>
          <w:trHeight w:val="20"/>
        </w:trPr>
        <w:tc>
          <w:tcPr>
            <w:tcW w:w="5000" w:type="pct"/>
            <w:gridSpan w:val="5"/>
            <w:shd w:val="clear" w:color="auto" w:fill="EDEDED" w:themeFill="accent3" w:themeFillTint="33"/>
          </w:tcPr>
          <w:p w14:paraId="46CD7A8B" w14:textId="4A53C61F" w:rsidR="00D9655F" w:rsidRPr="001F3159" w:rsidRDefault="0037116F" w:rsidP="000E24E2">
            <w:pPr>
              <w:ind w:left="0"/>
              <w:rPr>
                <w:b/>
                <w:bCs/>
                <w:sz w:val="16"/>
                <w:szCs w:val="16"/>
                <w:lang w:val="en-GB"/>
              </w:rPr>
            </w:pPr>
            <w:r w:rsidRPr="001F3159">
              <w:rPr>
                <w:b/>
                <w:bCs/>
                <w:sz w:val="16"/>
                <w:szCs w:val="16"/>
                <w:lang w:val="en-GB"/>
              </w:rPr>
              <w:t>Unit costs</w:t>
            </w:r>
          </w:p>
        </w:tc>
      </w:tr>
      <w:tr w:rsidR="00D9655F" w:rsidRPr="001F3159" w14:paraId="12928BD5" w14:textId="77777777" w:rsidTr="000B1B66">
        <w:trPr>
          <w:trHeight w:val="20"/>
        </w:trPr>
        <w:tc>
          <w:tcPr>
            <w:tcW w:w="2395" w:type="pct"/>
          </w:tcPr>
          <w:p w14:paraId="665682F0" w14:textId="66299E9B" w:rsidR="00D9655F" w:rsidRPr="001F3159" w:rsidRDefault="00D9655F" w:rsidP="00D9655F">
            <w:pPr>
              <w:ind w:left="0"/>
              <w:rPr>
                <w:sz w:val="16"/>
                <w:szCs w:val="16"/>
                <w:lang w:val="en-GB"/>
              </w:rPr>
            </w:pPr>
            <w:r w:rsidRPr="001F3159">
              <w:rPr>
                <w:sz w:val="16"/>
                <w:szCs w:val="16"/>
                <w:lang w:val="en-GB"/>
              </w:rPr>
              <w:t>Asymp COVID-19</w:t>
            </w:r>
          </w:p>
        </w:tc>
        <w:tc>
          <w:tcPr>
            <w:tcW w:w="598" w:type="pct"/>
          </w:tcPr>
          <w:p w14:paraId="1FEA2CD2" w14:textId="77777777" w:rsidR="00D9655F" w:rsidRPr="001F3159" w:rsidRDefault="00D9655F" w:rsidP="00D9655F">
            <w:pPr>
              <w:ind w:left="0"/>
              <w:rPr>
                <w:sz w:val="16"/>
                <w:szCs w:val="16"/>
                <w:lang w:val="en-GB"/>
              </w:rPr>
            </w:pPr>
          </w:p>
        </w:tc>
        <w:tc>
          <w:tcPr>
            <w:tcW w:w="863" w:type="pct"/>
          </w:tcPr>
          <w:p w14:paraId="75C642E3" w14:textId="77777777" w:rsidR="00D9655F" w:rsidRPr="001F3159" w:rsidRDefault="00D9655F" w:rsidP="00D9655F">
            <w:pPr>
              <w:ind w:left="0"/>
              <w:rPr>
                <w:sz w:val="16"/>
                <w:szCs w:val="16"/>
                <w:lang w:val="en-GB"/>
              </w:rPr>
            </w:pPr>
          </w:p>
        </w:tc>
        <w:tc>
          <w:tcPr>
            <w:tcW w:w="721" w:type="pct"/>
          </w:tcPr>
          <w:p w14:paraId="5200ED0F" w14:textId="77777777" w:rsidR="00D9655F" w:rsidRPr="001F3159" w:rsidRDefault="00D9655F" w:rsidP="00D9655F">
            <w:pPr>
              <w:ind w:left="0"/>
              <w:rPr>
                <w:sz w:val="16"/>
                <w:szCs w:val="16"/>
                <w:lang w:val="en-GB"/>
              </w:rPr>
            </w:pPr>
          </w:p>
        </w:tc>
        <w:tc>
          <w:tcPr>
            <w:tcW w:w="423" w:type="pct"/>
          </w:tcPr>
          <w:p w14:paraId="08933630" w14:textId="77777777" w:rsidR="00D9655F" w:rsidRPr="001F3159" w:rsidRDefault="00D9655F" w:rsidP="00D9655F">
            <w:pPr>
              <w:ind w:left="0"/>
              <w:rPr>
                <w:sz w:val="16"/>
                <w:szCs w:val="16"/>
                <w:lang w:val="en-GB"/>
              </w:rPr>
            </w:pPr>
          </w:p>
        </w:tc>
      </w:tr>
      <w:tr w:rsidR="00D9655F" w:rsidRPr="001F3159" w14:paraId="43F8A03E" w14:textId="77777777" w:rsidTr="000B1B66">
        <w:trPr>
          <w:trHeight w:val="20"/>
        </w:trPr>
        <w:tc>
          <w:tcPr>
            <w:tcW w:w="2395" w:type="pct"/>
          </w:tcPr>
          <w:p w14:paraId="59EE81A0" w14:textId="65B69425" w:rsidR="00D9655F" w:rsidRPr="001F3159" w:rsidRDefault="00D9655F" w:rsidP="00D9655F">
            <w:pPr>
              <w:ind w:left="0"/>
              <w:rPr>
                <w:sz w:val="16"/>
                <w:szCs w:val="16"/>
                <w:lang w:val="en-GB"/>
              </w:rPr>
            </w:pPr>
            <w:r w:rsidRPr="001F3159">
              <w:rPr>
                <w:sz w:val="16"/>
                <w:szCs w:val="16"/>
                <w:lang w:val="en-GB"/>
              </w:rPr>
              <w:t>Mild/mod COVID-19</w:t>
            </w:r>
          </w:p>
        </w:tc>
        <w:tc>
          <w:tcPr>
            <w:tcW w:w="598" w:type="pct"/>
          </w:tcPr>
          <w:p w14:paraId="2DEFC50C" w14:textId="77777777" w:rsidR="00D9655F" w:rsidRPr="001F3159" w:rsidRDefault="00D9655F" w:rsidP="00D9655F">
            <w:pPr>
              <w:ind w:left="0"/>
              <w:rPr>
                <w:sz w:val="16"/>
                <w:szCs w:val="16"/>
                <w:lang w:val="en-GB"/>
              </w:rPr>
            </w:pPr>
          </w:p>
        </w:tc>
        <w:tc>
          <w:tcPr>
            <w:tcW w:w="863" w:type="pct"/>
          </w:tcPr>
          <w:p w14:paraId="626722BE" w14:textId="77777777" w:rsidR="00D9655F" w:rsidRPr="001F3159" w:rsidRDefault="00D9655F" w:rsidP="00D9655F">
            <w:pPr>
              <w:ind w:left="0"/>
              <w:rPr>
                <w:sz w:val="16"/>
                <w:szCs w:val="16"/>
                <w:lang w:val="en-GB"/>
              </w:rPr>
            </w:pPr>
          </w:p>
        </w:tc>
        <w:tc>
          <w:tcPr>
            <w:tcW w:w="721" w:type="pct"/>
          </w:tcPr>
          <w:p w14:paraId="29ACB482" w14:textId="77777777" w:rsidR="00D9655F" w:rsidRPr="001F3159" w:rsidRDefault="00D9655F" w:rsidP="00D9655F">
            <w:pPr>
              <w:ind w:left="0"/>
              <w:rPr>
                <w:sz w:val="16"/>
                <w:szCs w:val="16"/>
                <w:lang w:val="en-GB"/>
              </w:rPr>
            </w:pPr>
          </w:p>
        </w:tc>
        <w:tc>
          <w:tcPr>
            <w:tcW w:w="423" w:type="pct"/>
          </w:tcPr>
          <w:p w14:paraId="61959EC4" w14:textId="77777777" w:rsidR="00D9655F" w:rsidRPr="001F3159" w:rsidRDefault="00D9655F" w:rsidP="00D9655F">
            <w:pPr>
              <w:ind w:left="0"/>
              <w:rPr>
                <w:sz w:val="16"/>
                <w:szCs w:val="16"/>
                <w:lang w:val="en-GB"/>
              </w:rPr>
            </w:pPr>
          </w:p>
        </w:tc>
      </w:tr>
      <w:tr w:rsidR="00D9655F" w:rsidRPr="001F3159" w14:paraId="12148F57" w14:textId="77777777" w:rsidTr="000B1B66">
        <w:trPr>
          <w:trHeight w:val="20"/>
        </w:trPr>
        <w:tc>
          <w:tcPr>
            <w:tcW w:w="2395" w:type="pct"/>
          </w:tcPr>
          <w:p w14:paraId="2DBBA34F" w14:textId="285E489A" w:rsidR="00D9655F" w:rsidRPr="001F3159" w:rsidRDefault="00D9655F" w:rsidP="00D9655F">
            <w:pPr>
              <w:ind w:left="0"/>
              <w:rPr>
                <w:sz w:val="16"/>
                <w:szCs w:val="16"/>
                <w:lang w:val="en-GB"/>
              </w:rPr>
            </w:pPr>
            <w:r w:rsidRPr="001F3159">
              <w:rPr>
                <w:sz w:val="16"/>
                <w:szCs w:val="16"/>
                <w:lang w:val="en-GB"/>
              </w:rPr>
              <w:t>Severe COVID-19</w:t>
            </w:r>
          </w:p>
        </w:tc>
        <w:tc>
          <w:tcPr>
            <w:tcW w:w="598" w:type="pct"/>
          </w:tcPr>
          <w:p w14:paraId="1274EAFD" w14:textId="77777777" w:rsidR="00D9655F" w:rsidRPr="001F3159" w:rsidRDefault="00D9655F" w:rsidP="00D9655F">
            <w:pPr>
              <w:ind w:left="0"/>
              <w:rPr>
                <w:sz w:val="16"/>
                <w:szCs w:val="16"/>
                <w:lang w:val="en-GB"/>
              </w:rPr>
            </w:pPr>
          </w:p>
        </w:tc>
        <w:tc>
          <w:tcPr>
            <w:tcW w:w="863" w:type="pct"/>
          </w:tcPr>
          <w:p w14:paraId="2A67A4DB" w14:textId="77777777" w:rsidR="00D9655F" w:rsidRPr="001F3159" w:rsidRDefault="00D9655F" w:rsidP="00D9655F">
            <w:pPr>
              <w:ind w:left="0"/>
              <w:rPr>
                <w:sz w:val="16"/>
                <w:szCs w:val="16"/>
                <w:lang w:val="en-GB"/>
              </w:rPr>
            </w:pPr>
          </w:p>
        </w:tc>
        <w:tc>
          <w:tcPr>
            <w:tcW w:w="721" w:type="pct"/>
          </w:tcPr>
          <w:p w14:paraId="652C4132" w14:textId="77777777" w:rsidR="00D9655F" w:rsidRPr="001F3159" w:rsidRDefault="00D9655F" w:rsidP="00D9655F">
            <w:pPr>
              <w:ind w:left="0"/>
              <w:rPr>
                <w:sz w:val="16"/>
                <w:szCs w:val="16"/>
                <w:lang w:val="en-GB"/>
              </w:rPr>
            </w:pPr>
          </w:p>
        </w:tc>
        <w:tc>
          <w:tcPr>
            <w:tcW w:w="423" w:type="pct"/>
          </w:tcPr>
          <w:p w14:paraId="6DCDFA9F" w14:textId="77777777" w:rsidR="00D9655F" w:rsidRPr="001F3159" w:rsidRDefault="00D9655F" w:rsidP="00D9655F">
            <w:pPr>
              <w:ind w:left="0"/>
              <w:rPr>
                <w:sz w:val="16"/>
                <w:szCs w:val="16"/>
                <w:lang w:val="en-GB"/>
              </w:rPr>
            </w:pPr>
          </w:p>
        </w:tc>
      </w:tr>
      <w:tr w:rsidR="00D9655F" w:rsidRPr="001F3159" w14:paraId="37DA0F97" w14:textId="77777777" w:rsidTr="000B1B66">
        <w:trPr>
          <w:trHeight w:val="20"/>
        </w:trPr>
        <w:tc>
          <w:tcPr>
            <w:tcW w:w="2395" w:type="pct"/>
          </w:tcPr>
          <w:p w14:paraId="270D7528" w14:textId="44140AC5" w:rsidR="00D9655F" w:rsidRPr="001F3159" w:rsidRDefault="00D9655F" w:rsidP="00D9655F">
            <w:pPr>
              <w:ind w:left="0"/>
              <w:rPr>
                <w:sz w:val="16"/>
                <w:szCs w:val="16"/>
                <w:lang w:val="en-GB"/>
              </w:rPr>
            </w:pPr>
            <w:r w:rsidRPr="001F3159">
              <w:rPr>
                <w:sz w:val="16"/>
                <w:szCs w:val="16"/>
                <w:lang w:val="en-GB"/>
              </w:rPr>
              <w:t>Critical COVID-19</w:t>
            </w:r>
          </w:p>
        </w:tc>
        <w:tc>
          <w:tcPr>
            <w:tcW w:w="598" w:type="pct"/>
          </w:tcPr>
          <w:p w14:paraId="4A54472A" w14:textId="77777777" w:rsidR="00D9655F" w:rsidRPr="001F3159" w:rsidRDefault="00D9655F" w:rsidP="00D9655F">
            <w:pPr>
              <w:ind w:left="0"/>
              <w:rPr>
                <w:sz w:val="16"/>
                <w:szCs w:val="16"/>
                <w:lang w:val="en-GB"/>
              </w:rPr>
            </w:pPr>
          </w:p>
        </w:tc>
        <w:tc>
          <w:tcPr>
            <w:tcW w:w="863" w:type="pct"/>
          </w:tcPr>
          <w:p w14:paraId="1E3AE29D" w14:textId="77777777" w:rsidR="00D9655F" w:rsidRPr="001F3159" w:rsidRDefault="00D9655F" w:rsidP="00D9655F">
            <w:pPr>
              <w:ind w:left="0"/>
              <w:rPr>
                <w:sz w:val="16"/>
                <w:szCs w:val="16"/>
                <w:lang w:val="en-GB"/>
              </w:rPr>
            </w:pPr>
          </w:p>
        </w:tc>
        <w:tc>
          <w:tcPr>
            <w:tcW w:w="721" w:type="pct"/>
          </w:tcPr>
          <w:p w14:paraId="54145808" w14:textId="77777777" w:rsidR="00D9655F" w:rsidRPr="001F3159" w:rsidRDefault="00D9655F" w:rsidP="00D9655F">
            <w:pPr>
              <w:ind w:left="0"/>
              <w:rPr>
                <w:sz w:val="16"/>
                <w:szCs w:val="16"/>
                <w:lang w:val="en-GB"/>
              </w:rPr>
            </w:pPr>
          </w:p>
        </w:tc>
        <w:tc>
          <w:tcPr>
            <w:tcW w:w="423" w:type="pct"/>
          </w:tcPr>
          <w:p w14:paraId="2B82112F" w14:textId="77777777" w:rsidR="00D9655F" w:rsidRPr="001F3159" w:rsidRDefault="00D9655F" w:rsidP="00D9655F">
            <w:pPr>
              <w:ind w:left="0"/>
              <w:rPr>
                <w:sz w:val="16"/>
                <w:szCs w:val="16"/>
                <w:lang w:val="en-GB"/>
              </w:rPr>
            </w:pPr>
          </w:p>
        </w:tc>
      </w:tr>
      <w:tr w:rsidR="001F3159" w:rsidRPr="001F3159" w14:paraId="7D0A440B" w14:textId="77777777" w:rsidTr="000B1B66">
        <w:trPr>
          <w:trHeight w:val="20"/>
        </w:trPr>
        <w:tc>
          <w:tcPr>
            <w:tcW w:w="5000" w:type="pct"/>
            <w:gridSpan w:val="5"/>
            <w:shd w:val="clear" w:color="auto" w:fill="DBDBDB" w:themeFill="accent3" w:themeFillTint="66"/>
          </w:tcPr>
          <w:p w14:paraId="63CAFAF4" w14:textId="3E7FDDAD" w:rsidR="001F3159" w:rsidRPr="001F3159" w:rsidRDefault="001F3159" w:rsidP="001F3159">
            <w:pPr>
              <w:ind w:left="0"/>
              <w:rPr>
                <w:b/>
                <w:bCs/>
                <w:sz w:val="16"/>
                <w:szCs w:val="16"/>
                <w:lang w:val="en-GB"/>
              </w:rPr>
            </w:pPr>
            <w:r w:rsidRPr="001F3159">
              <w:rPr>
                <w:b/>
                <w:bCs/>
                <w:sz w:val="16"/>
                <w:szCs w:val="16"/>
                <w:lang w:val="en-GB"/>
              </w:rPr>
              <w:t xml:space="preserve">Long COVID component </w:t>
            </w:r>
            <w:r w:rsidRPr="001F3159">
              <w:rPr>
                <w:b/>
                <w:bCs/>
                <w:sz w:val="16"/>
                <w:szCs w:val="16"/>
                <w:lang w:val="en-GB"/>
              </w:rPr>
              <w:t>– Omicron variant</w:t>
            </w:r>
          </w:p>
        </w:tc>
      </w:tr>
      <w:tr w:rsidR="001F3159" w:rsidRPr="001F3159" w14:paraId="702D2494" w14:textId="77777777" w:rsidTr="000B1B66">
        <w:trPr>
          <w:trHeight w:val="20"/>
        </w:trPr>
        <w:tc>
          <w:tcPr>
            <w:tcW w:w="5000" w:type="pct"/>
            <w:gridSpan w:val="5"/>
            <w:shd w:val="clear" w:color="auto" w:fill="EDEDED" w:themeFill="accent3" w:themeFillTint="33"/>
          </w:tcPr>
          <w:p w14:paraId="291D9D6D" w14:textId="50533AC8" w:rsidR="001F3159" w:rsidRPr="001F3159" w:rsidRDefault="001F3159" w:rsidP="001F3159">
            <w:pPr>
              <w:ind w:left="0"/>
              <w:rPr>
                <w:b/>
                <w:bCs/>
                <w:sz w:val="16"/>
                <w:szCs w:val="16"/>
                <w:lang w:val="en-GB"/>
              </w:rPr>
            </w:pPr>
            <w:r w:rsidRPr="001F3159">
              <w:rPr>
                <w:b/>
                <w:bCs/>
                <w:sz w:val="16"/>
                <w:szCs w:val="16"/>
                <w:lang w:val="en-GB"/>
              </w:rPr>
              <w:t>Transition probabilities</w:t>
            </w:r>
          </w:p>
        </w:tc>
      </w:tr>
      <w:tr w:rsidR="001F3159" w:rsidRPr="001F3159" w14:paraId="4B8C23E7" w14:textId="77777777" w:rsidTr="000B1B66">
        <w:trPr>
          <w:trHeight w:val="20"/>
        </w:trPr>
        <w:tc>
          <w:tcPr>
            <w:tcW w:w="2395" w:type="pct"/>
          </w:tcPr>
          <w:p w14:paraId="42D8D3E0" w14:textId="366C58A4" w:rsidR="001F3159" w:rsidRPr="001F3159" w:rsidRDefault="001F3159" w:rsidP="001F3159">
            <w:pPr>
              <w:ind w:left="0"/>
              <w:rPr>
                <w:sz w:val="16"/>
                <w:szCs w:val="16"/>
                <w:lang w:val="en-GB"/>
              </w:rPr>
            </w:pPr>
            <w:r w:rsidRPr="001F3159">
              <w:rPr>
                <w:sz w:val="16"/>
                <w:szCs w:val="16"/>
                <w:lang w:val="en-GB"/>
              </w:rPr>
              <w:t>From asymp COVID-19 to mild LCOVID</w:t>
            </w:r>
          </w:p>
        </w:tc>
        <w:tc>
          <w:tcPr>
            <w:tcW w:w="598" w:type="pct"/>
          </w:tcPr>
          <w:p w14:paraId="13452240" w14:textId="66245212" w:rsidR="001F3159" w:rsidRPr="001F3159" w:rsidRDefault="001F3159" w:rsidP="001F3159">
            <w:pPr>
              <w:ind w:left="0"/>
              <w:rPr>
                <w:sz w:val="16"/>
                <w:szCs w:val="16"/>
                <w:lang w:val="en-GB"/>
              </w:rPr>
            </w:pPr>
            <w:r w:rsidRPr="001F3159">
              <w:rPr>
                <w:sz w:val="16"/>
                <w:szCs w:val="16"/>
                <w:lang w:val="en-GB"/>
              </w:rPr>
              <w:t>0.10</w:t>
            </w:r>
          </w:p>
        </w:tc>
        <w:tc>
          <w:tcPr>
            <w:tcW w:w="863" w:type="pct"/>
          </w:tcPr>
          <w:p w14:paraId="5E3FBDFA" w14:textId="77777777" w:rsidR="001F3159" w:rsidRPr="001F3159" w:rsidRDefault="001F3159" w:rsidP="001F3159">
            <w:pPr>
              <w:ind w:left="0"/>
              <w:rPr>
                <w:sz w:val="16"/>
                <w:szCs w:val="16"/>
                <w:lang w:val="en-GB"/>
              </w:rPr>
            </w:pPr>
          </w:p>
        </w:tc>
        <w:tc>
          <w:tcPr>
            <w:tcW w:w="721" w:type="pct"/>
          </w:tcPr>
          <w:p w14:paraId="4E67F9A9" w14:textId="77777777" w:rsidR="001F3159" w:rsidRPr="001F3159" w:rsidRDefault="001F3159" w:rsidP="001F3159">
            <w:pPr>
              <w:ind w:left="0"/>
              <w:rPr>
                <w:sz w:val="16"/>
                <w:szCs w:val="16"/>
                <w:lang w:val="en-GB"/>
              </w:rPr>
            </w:pPr>
          </w:p>
        </w:tc>
        <w:tc>
          <w:tcPr>
            <w:tcW w:w="423" w:type="pct"/>
          </w:tcPr>
          <w:p w14:paraId="05E19A12" w14:textId="77777777" w:rsidR="001F3159" w:rsidRPr="001F3159" w:rsidRDefault="001F3159" w:rsidP="001F3159">
            <w:pPr>
              <w:ind w:left="0"/>
              <w:rPr>
                <w:sz w:val="16"/>
                <w:szCs w:val="16"/>
                <w:lang w:val="en-GB"/>
              </w:rPr>
            </w:pPr>
          </w:p>
        </w:tc>
      </w:tr>
      <w:tr w:rsidR="001F3159" w:rsidRPr="001F3159" w14:paraId="429C1C27" w14:textId="77777777" w:rsidTr="000B1B66">
        <w:trPr>
          <w:trHeight w:val="20"/>
        </w:trPr>
        <w:tc>
          <w:tcPr>
            <w:tcW w:w="2395" w:type="pct"/>
          </w:tcPr>
          <w:p w14:paraId="5A4A20AB" w14:textId="632C4B3A" w:rsidR="001F3159" w:rsidRPr="001F3159" w:rsidRDefault="001F3159" w:rsidP="001F3159">
            <w:pPr>
              <w:ind w:left="0"/>
              <w:rPr>
                <w:sz w:val="16"/>
                <w:szCs w:val="16"/>
                <w:lang w:val="en-GB"/>
              </w:rPr>
            </w:pPr>
            <w:r w:rsidRPr="001F3159">
              <w:rPr>
                <w:sz w:val="16"/>
                <w:szCs w:val="16"/>
                <w:lang w:val="en-GB"/>
              </w:rPr>
              <w:t xml:space="preserve">From asymp </w:t>
            </w:r>
            <w:r w:rsidRPr="001F3159">
              <w:rPr>
                <w:sz w:val="16"/>
                <w:szCs w:val="16"/>
                <w:lang w:val="en-GB"/>
              </w:rPr>
              <w:t xml:space="preserve">COVID-19 </w:t>
            </w:r>
            <w:r w:rsidRPr="001F3159">
              <w:rPr>
                <w:sz w:val="16"/>
                <w:szCs w:val="16"/>
                <w:lang w:val="en-GB"/>
              </w:rPr>
              <w:t>to mod LCOVID</w:t>
            </w:r>
          </w:p>
        </w:tc>
        <w:tc>
          <w:tcPr>
            <w:tcW w:w="598" w:type="pct"/>
          </w:tcPr>
          <w:p w14:paraId="68D43276" w14:textId="18F85101" w:rsidR="001F3159" w:rsidRPr="001F3159" w:rsidRDefault="001F3159" w:rsidP="001F3159">
            <w:pPr>
              <w:ind w:left="0"/>
              <w:rPr>
                <w:sz w:val="16"/>
                <w:szCs w:val="16"/>
                <w:lang w:val="en-GB"/>
              </w:rPr>
            </w:pPr>
            <w:r w:rsidRPr="001F3159">
              <w:rPr>
                <w:sz w:val="16"/>
                <w:szCs w:val="16"/>
                <w:lang w:val="en-GB"/>
              </w:rPr>
              <w:t>0.01</w:t>
            </w:r>
          </w:p>
        </w:tc>
        <w:tc>
          <w:tcPr>
            <w:tcW w:w="863" w:type="pct"/>
          </w:tcPr>
          <w:p w14:paraId="2FA0B9C0" w14:textId="77777777" w:rsidR="001F3159" w:rsidRPr="001F3159" w:rsidRDefault="001F3159" w:rsidP="001F3159">
            <w:pPr>
              <w:ind w:left="0"/>
              <w:rPr>
                <w:sz w:val="16"/>
                <w:szCs w:val="16"/>
                <w:lang w:val="en-GB"/>
              </w:rPr>
            </w:pPr>
          </w:p>
        </w:tc>
        <w:tc>
          <w:tcPr>
            <w:tcW w:w="721" w:type="pct"/>
          </w:tcPr>
          <w:p w14:paraId="4402CF45" w14:textId="77777777" w:rsidR="001F3159" w:rsidRPr="001F3159" w:rsidRDefault="001F3159" w:rsidP="001F3159">
            <w:pPr>
              <w:ind w:left="0"/>
              <w:rPr>
                <w:sz w:val="16"/>
                <w:szCs w:val="16"/>
                <w:lang w:val="en-GB"/>
              </w:rPr>
            </w:pPr>
          </w:p>
        </w:tc>
        <w:tc>
          <w:tcPr>
            <w:tcW w:w="423" w:type="pct"/>
          </w:tcPr>
          <w:p w14:paraId="3AD65FB6" w14:textId="77777777" w:rsidR="001F3159" w:rsidRPr="001F3159" w:rsidRDefault="001F3159" w:rsidP="001F3159">
            <w:pPr>
              <w:ind w:left="0"/>
              <w:rPr>
                <w:sz w:val="16"/>
                <w:szCs w:val="16"/>
                <w:lang w:val="en-GB"/>
              </w:rPr>
            </w:pPr>
          </w:p>
        </w:tc>
      </w:tr>
      <w:tr w:rsidR="001F3159" w:rsidRPr="001F3159" w14:paraId="43A5D9A6" w14:textId="77777777" w:rsidTr="000B1B66">
        <w:trPr>
          <w:trHeight w:val="20"/>
        </w:trPr>
        <w:tc>
          <w:tcPr>
            <w:tcW w:w="2395" w:type="pct"/>
          </w:tcPr>
          <w:p w14:paraId="79F0E3C6" w14:textId="354ED5C0" w:rsidR="001F3159" w:rsidRPr="001F3159" w:rsidRDefault="001F3159" w:rsidP="001F3159">
            <w:pPr>
              <w:ind w:left="0"/>
              <w:rPr>
                <w:sz w:val="16"/>
                <w:szCs w:val="16"/>
                <w:lang w:val="en-GB"/>
              </w:rPr>
            </w:pPr>
            <w:r w:rsidRPr="001F3159">
              <w:rPr>
                <w:sz w:val="16"/>
                <w:szCs w:val="16"/>
                <w:lang w:val="en-GB"/>
              </w:rPr>
              <w:t xml:space="preserve">From asymp </w:t>
            </w:r>
            <w:r w:rsidRPr="001F3159">
              <w:rPr>
                <w:sz w:val="16"/>
                <w:szCs w:val="16"/>
                <w:lang w:val="en-GB"/>
              </w:rPr>
              <w:t xml:space="preserve">COVID-19 </w:t>
            </w:r>
            <w:r w:rsidRPr="001F3159">
              <w:rPr>
                <w:sz w:val="16"/>
                <w:szCs w:val="16"/>
                <w:lang w:val="en-GB"/>
              </w:rPr>
              <w:t>to severe LCOVID</w:t>
            </w:r>
          </w:p>
        </w:tc>
        <w:tc>
          <w:tcPr>
            <w:tcW w:w="598" w:type="pct"/>
          </w:tcPr>
          <w:p w14:paraId="295F1A71" w14:textId="6D8FC288" w:rsidR="001F3159" w:rsidRPr="001F3159" w:rsidRDefault="001F3159" w:rsidP="001F3159">
            <w:pPr>
              <w:ind w:left="0"/>
              <w:rPr>
                <w:sz w:val="16"/>
                <w:szCs w:val="16"/>
                <w:lang w:val="en-GB"/>
              </w:rPr>
            </w:pPr>
            <w:r w:rsidRPr="001F3159">
              <w:rPr>
                <w:sz w:val="16"/>
                <w:szCs w:val="16"/>
                <w:lang w:val="en-GB"/>
              </w:rPr>
              <w:t>0.001</w:t>
            </w:r>
          </w:p>
        </w:tc>
        <w:tc>
          <w:tcPr>
            <w:tcW w:w="863" w:type="pct"/>
          </w:tcPr>
          <w:p w14:paraId="4086301A" w14:textId="77777777" w:rsidR="001F3159" w:rsidRPr="001F3159" w:rsidRDefault="001F3159" w:rsidP="001F3159">
            <w:pPr>
              <w:ind w:left="0"/>
              <w:rPr>
                <w:sz w:val="16"/>
                <w:szCs w:val="16"/>
                <w:lang w:val="en-GB"/>
              </w:rPr>
            </w:pPr>
          </w:p>
        </w:tc>
        <w:tc>
          <w:tcPr>
            <w:tcW w:w="721" w:type="pct"/>
          </w:tcPr>
          <w:p w14:paraId="76F0211F" w14:textId="77777777" w:rsidR="001F3159" w:rsidRPr="001F3159" w:rsidRDefault="001F3159" w:rsidP="001F3159">
            <w:pPr>
              <w:ind w:left="0"/>
              <w:rPr>
                <w:sz w:val="16"/>
                <w:szCs w:val="16"/>
                <w:lang w:val="en-GB"/>
              </w:rPr>
            </w:pPr>
          </w:p>
        </w:tc>
        <w:tc>
          <w:tcPr>
            <w:tcW w:w="423" w:type="pct"/>
          </w:tcPr>
          <w:p w14:paraId="75338DA2" w14:textId="77777777" w:rsidR="001F3159" w:rsidRPr="001F3159" w:rsidRDefault="001F3159" w:rsidP="001F3159">
            <w:pPr>
              <w:ind w:left="0"/>
              <w:rPr>
                <w:sz w:val="16"/>
                <w:szCs w:val="16"/>
                <w:lang w:val="en-GB"/>
              </w:rPr>
            </w:pPr>
          </w:p>
        </w:tc>
      </w:tr>
      <w:tr w:rsidR="001F3159" w:rsidRPr="001F3159" w14:paraId="3A62FDE7" w14:textId="77777777" w:rsidTr="000B1B66">
        <w:trPr>
          <w:trHeight w:val="20"/>
        </w:trPr>
        <w:tc>
          <w:tcPr>
            <w:tcW w:w="2395" w:type="pct"/>
          </w:tcPr>
          <w:p w14:paraId="3053702C" w14:textId="6BC576D9" w:rsidR="001F3159" w:rsidRPr="001F3159" w:rsidRDefault="001F3159" w:rsidP="001F3159">
            <w:pPr>
              <w:ind w:left="0"/>
              <w:rPr>
                <w:sz w:val="16"/>
                <w:szCs w:val="16"/>
                <w:lang w:val="en-GB"/>
              </w:rPr>
            </w:pPr>
            <w:r w:rsidRPr="001F3159">
              <w:rPr>
                <w:sz w:val="16"/>
                <w:szCs w:val="16"/>
                <w:lang w:val="en-GB"/>
              </w:rPr>
              <w:t xml:space="preserve">From </w:t>
            </w:r>
            <w:r w:rsidRPr="001F3159">
              <w:rPr>
                <w:sz w:val="16"/>
                <w:szCs w:val="16"/>
                <w:lang w:val="en-GB"/>
              </w:rPr>
              <w:t>mild/mod</w:t>
            </w:r>
            <w:r w:rsidRPr="001F3159">
              <w:rPr>
                <w:sz w:val="16"/>
                <w:szCs w:val="16"/>
                <w:lang w:val="en-GB"/>
              </w:rPr>
              <w:t xml:space="preserve"> COVID-19 to </w:t>
            </w:r>
            <w:r w:rsidRPr="001F3159">
              <w:rPr>
                <w:sz w:val="16"/>
                <w:szCs w:val="16"/>
                <w:lang w:val="en-GB"/>
              </w:rPr>
              <w:t>mild LCOVID</w:t>
            </w:r>
          </w:p>
        </w:tc>
        <w:tc>
          <w:tcPr>
            <w:tcW w:w="598" w:type="pct"/>
          </w:tcPr>
          <w:p w14:paraId="0C03250C" w14:textId="25DD9B5D" w:rsidR="001F3159" w:rsidRPr="001F3159" w:rsidRDefault="001F3159" w:rsidP="001F3159">
            <w:pPr>
              <w:ind w:left="0"/>
              <w:rPr>
                <w:sz w:val="16"/>
                <w:szCs w:val="16"/>
                <w:lang w:val="en-GB"/>
              </w:rPr>
            </w:pPr>
            <w:r w:rsidRPr="001F3159">
              <w:rPr>
                <w:sz w:val="16"/>
                <w:szCs w:val="16"/>
                <w:lang w:val="en-GB"/>
              </w:rPr>
              <w:t>0.15</w:t>
            </w:r>
          </w:p>
        </w:tc>
        <w:tc>
          <w:tcPr>
            <w:tcW w:w="863" w:type="pct"/>
          </w:tcPr>
          <w:p w14:paraId="6FB107C3" w14:textId="77777777" w:rsidR="001F3159" w:rsidRPr="001F3159" w:rsidRDefault="001F3159" w:rsidP="001F3159">
            <w:pPr>
              <w:ind w:left="0"/>
              <w:rPr>
                <w:sz w:val="16"/>
                <w:szCs w:val="16"/>
                <w:lang w:val="en-GB"/>
              </w:rPr>
            </w:pPr>
          </w:p>
        </w:tc>
        <w:tc>
          <w:tcPr>
            <w:tcW w:w="721" w:type="pct"/>
          </w:tcPr>
          <w:p w14:paraId="7583ABD6" w14:textId="77777777" w:rsidR="001F3159" w:rsidRPr="001F3159" w:rsidRDefault="001F3159" w:rsidP="001F3159">
            <w:pPr>
              <w:ind w:left="0"/>
              <w:rPr>
                <w:sz w:val="16"/>
                <w:szCs w:val="16"/>
                <w:lang w:val="en-GB"/>
              </w:rPr>
            </w:pPr>
          </w:p>
        </w:tc>
        <w:tc>
          <w:tcPr>
            <w:tcW w:w="423" w:type="pct"/>
          </w:tcPr>
          <w:p w14:paraId="57643570" w14:textId="77777777" w:rsidR="001F3159" w:rsidRPr="001F3159" w:rsidRDefault="001F3159" w:rsidP="001F3159">
            <w:pPr>
              <w:ind w:left="0"/>
              <w:rPr>
                <w:sz w:val="16"/>
                <w:szCs w:val="16"/>
                <w:lang w:val="en-GB"/>
              </w:rPr>
            </w:pPr>
          </w:p>
        </w:tc>
      </w:tr>
      <w:tr w:rsidR="001F3159" w:rsidRPr="001F3159" w14:paraId="79B7A429" w14:textId="77777777" w:rsidTr="000B1B66">
        <w:trPr>
          <w:trHeight w:val="20"/>
        </w:trPr>
        <w:tc>
          <w:tcPr>
            <w:tcW w:w="2395" w:type="pct"/>
          </w:tcPr>
          <w:p w14:paraId="18AFF0F0" w14:textId="4E3917CD" w:rsidR="001F3159" w:rsidRPr="001F3159" w:rsidRDefault="001F3159" w:rsidP="001F3159">
            <w:pPr>
              <w:ind w:left="0"/>
              <w:rPr>
                <w:sz w:val="16"/>
                <w:szCs w:val="16"/>
                <w:lang w:val="en-GB"/>
              </w:rPr>
            </w:pPr>
            <w:r w:rsidRPr="001F3159">
              <w:rPr>
                <w:sz w:val="16"/>
                <w:szCs w:val="16"/>
                <w:lang w:val="en-GB"/>
              </w:rPr>
              <w:t xml:space="preserve">From </w:t>
            </w:r>
            <w:r w:rsidRPr="001F3159">
              <w:rPr>
                <w:sz w:val="16"/>
                <w:szCs w:val="16"/>
                <w:lang w:val="en-GB"/>
              </w:rPr>
              <w:t xml:space="preserve">mild/mod </w:t>
            </w:r>
            <w:r w:rsidRPr="001F3159">
              <w:rPr>
                <w:sz w:val="16"/>
                <w:szCs w:val="16"/>
                <w:lang w:val="en-GB"/>
              </w:rPr>
              <w:t>COVID-</w:t>
            </w:r>
            <w:r w:rsidRPr="001F3159">
              <w:rPr>
                <w:sz w:val="16"/>
                <w:szCs w:val="16"/>
                <w:lang w:val="en-GB"/>
              </w:rPr>
              <w:t>19 to</w:t>
            </w:r>
            <w:r w:rsidRPr="001F3159">
              <w:rPr>
                <w:sz w:val="16"/>
                <w:szCs w:val="16"/>
                <w:lang w:val="en-GB"/>
              </w:rPr>
              <w:t xml:space="preserve"> mod LCOVID</w:t>
            </w:r>
          </w:p>
        </w:tc>
        <w:tc>
          <w:tcPr>
            <w:tcW w:w="598" w:type="pct"/>
          </w:tcPr>
          <w:p w14:paraId="30BAEE4C" w14:textId="6D7988CA" w:rsidR="001F3159" w:rsidRPr="001F3159" w:rsidRDefault="001F3159" w:rsidP="001F3159">
            <w:pPr>
              <w:ind w:left="0"/>
              <w:rPr>
                <w:sz w:val="16"/>
                <w:szCs w:val="16"/>
                <w:lang w:val="en-GB"/>
              </w:rPr>
            </w:pPr>
            <w:r w:rsidRPr="001F3159">
              <w:rPr>
                <w:sz w:val="16"/>
                <w:szCs w:val="16"/>
                <w:lang w:val="en-GB"/>
              </w:rPr>
              <w:t>0.05</w:t>
            </w:r>
          </w:p>
        </w:tc>
        <w:tc>
          <w:tcPr>
            <w:tcW w:w="863" w:type="pct"/>
          </w:tcPr>
          <w:p w14:paraId="0E549B8D" w14:textId="77777777" w:rsidR="001F3159" w:rsidRPr="001F3159" w:rsidRDefault="001F3159" w:rsidP="001F3159">
            <w:pPr>
              <w:ind w:left="0"/>
              <w:rPr>
                <w:sz w:val="16"/>
                <w:szCs w:val="16"/>
                <w:lang w:val="en-GB"/>
              </w:rPr>
            </w:pPr>
          </w:p>
        </w:tc>
        <w:tc>
          <w:tcPr>
            <w:tcW w:w="721" w:type="pct"/>
          </w:tcPr>
          <w:p w14:paraId="5EE01DB4" w14:textId="77777777" w:rsidR="001F3159" w:rsidRPr="001F3159" w:rsidRDefault="001F3159" w:rsidP="001F3159">
            <w:pPr>
              <w:ind w:left="0"/>
              <w:rPr>
                <w:sz w:val="16"/>
                <w:szCs w:val="16"/>
                <w:lang w:val="en-GB"/>
              </w:rPr>
            </w:pPr>
          </w:p>
        </w:tc>
        <w:tc>
          <w:tcPr>
            <w:tcW w:w="423" w:type="pct"/>
          </w:tcPr>
          <w:p w14:paraId="56E0660B" w14:textId="77777777" w:rsidR="001F3159" w:rsidRPr="001F3159" w:rsidRDefault="001F3159" w:rsidP="001F3159">
            <w:pPr>
              <w:ind w:left="0"/>
              <w:rPr>
                <w:sz w:val="16"/>
                <w:szCs w:val="16"/>
                <w:lang w:val="en-GB"/>
              </w:rPr>
            </w:pPr>
          </w:p>
        </w:tc>
      </w:tr>
      <w:tr w:rsidR="001F3159" w:rsidRPr="001F3159" w14:paraId="3A60754E" w14:textId="77777777" w:rsidTr="000B1B66">
        <w:trPr>
          <w:trHeight w:val="20"/>
        </w:trPr>
        <w:tc>
          <w:tcPr>
            <w:tcW w:w="2395" w:type="pct"/>
          </w:tcPr>
          <w:p w14:paraId="51A9CDD5" w14:textId="58AAE76A" w:rsidR="001F3159" w:rsidRPr="001F3159" w:rsidRDefault="001F3159" w:rsidP="001F3159">
            <w:pPr>
              <w:ind w:left="0"/>
              <w:rPr>
                <w:sz w:val="16"/>
                <w:szCs w:val="16"/>
                <w:lang w:val="en-GB"/>
              </w:rPr>
            </w:pPr>
            <w:r w:rsidRPr="001F3159">
              <w:rPr>
                <w:sz w:val="16"/>
                <w:szCs w:val="16"/>
                <w:lang w:val="en-GB"/>
              </w:rPr>
              <w:t xml:space="preserve">From </w:t>
            </w:r>
            <w:r w:rsidRPr="001F3159">
              <w:rPr>
                <w:sz w:val="16"/>
                <w:szCs w:val="16"/>
                <w:lang w:val="en-GB"/>
              </w:rPr>
              <w:t xml:space="preserve">mild/mod </w:t>
            </w:r>
            <w:r w:rsidRPr="001F3159">
              <w:rPr>
                <w:sz w:val="16"/>
                <w:szCs w:val="16"/>
                <w:lang w:val="en-GB"/>
              </w:rPr>
              <w:t>COVID-</w:t>
            </w:r>
            <w:r w:rsidRPr="001F3159">
              <w:rPr>
                <w:sz w:val="16"/>
                <w:szCs w:val="16"/>
                <w:lang w:val="en-GB"/>
              </w:rPr>
              <w:t>19 to</w:t>
            </w:r>
            <w:r w:rsidRPr="001F3159">
              <w:rPr>
                <w:sz w:val="16"/>
                <w:szCs w:val="16"/>
                <w:lang w:val="en-GB"/>
              </w:rPr>
              <w:t xml:space="preserve"> severe LCOVID</w:t>
            </w:r>
          </w:p>
        </w:tc>
        <w:tc>
          <w:tcPr>
            <w:tcW w:w="598" w:type="pct"/>
          </w:tcPr>
          <w:p w14:paraId="7A4A3646" w14:textId="6DA48600" w:rsidR="001F3159" w:rsidRPr="001F3159" w:rsidRDefault="001F3159" w:rsidP="001F3159">
            <w:pPr>
              <w:ind w:left="0"/>
              <w:rPr>
                <w:sz w:val="16"/>
                <w:szCs w:val="16"/>
                <w:lang w:val="en-GB"/>
              </w:rPr>
            </w:pPr>
            <w:r w:rsidRPr="001F3159">
              <w:rPr>
                <w:sz w:val="16"/>
                <w:szCs w:val="16"/>
                <w:lang w:val="en-GB"/>
              </w:rPr>
              <w:t>0.001</w:t>
            </w:r>
          </w:p>
        </w:tc>
        <w:tc>
          <w:tcPr>
            <w:tcW w:w="863" w:type="pct"/>
          </w:tcPr>
          <w:p w14:paraId="0C1109BA" w14:textId="77777777" w:rsidR="001F3159" w:rsidRPr="001F3159" w:rsidRDefault="001F3159" w:rsidP="001F3159">
            <w:pPr>
              <w:ind w:left="0"/>
              <w:rPr>
                <w:sz w:val="16"/>
                <w:szCs w:val="16"/>
                <w:lang w:val="en-GB"/>
              </w:rPr>
            </w:pPr>
          </w:p>
        </w:tc>
        <w:tc>
          <w:tcPr>
            <w:tcW w:w="721" w:type="pct"/>
          </w:tcPr>
          <w:p w14:paraId="04AEE670" w14:textId="77777777" w:rsidR="001F3159" w:rsidRPr="001F3159" w:rsidRDefault="001F3159" w:rsidP="001F3159">
            <w:pPr>
              <w:ind w:left="0"/>
              <w:rPr>
                <w:sz w:val="16"/>
                <w:szCs w:val="16"/>
                <w:lang w:val="en-GB"/>
              </w:rPr>
            </w:pPr>
          </w:p>
        </w:tc>
        <w:tc>
          <w:tcPr>
            <w:tcW w:w="423" w:type="pct"/>
          </w:tcPr>
          <w:p w14:paraId="44CAFD33" w14:textId="77777777" w:rsidR="001F3159" w:rsidRPr="001F3159" w:rsidRDefault="001F3159" w:rsidP="001F3159">
            <w:pPr>
              <w:ind w:left="0"/>
              <w:rPr>
                <w:sz w:val="16"/>
                <w:szCs w:val="16"/>
                <w:lang w:val="en-GB"/>
              </w:rPr>
            </w:pPr>
          </w:p>
        </w:tc>
      </w:tr>
      <w:tr w:rsidR="001F3159" w:rsidRPr="001F3159" w14:paraId="1EBBD0D3" w14:textId="77777777" w:rsidTr="000B1B66">
        <w:trPr>
          <w:trHeight w:val="20"/>
        </w:trPr>
        <w:tc>
          <w:tcPr>
            <w:tcW w:w="2395" w:type="pct"/>
          </w:tcPr>
          <w:p w14:paraId="2BEF7E62" w14:textId="676CB878" w:rsidR="001F3159" w:rsidRPr="001F3159" w:rsidRDefault="001F3159" w:rsidP="001F3159">
            <w:pPr>
              <w:ind w:left="0"/>
              <w:rPr>
                <w:sz w:val="16"/>
                <w:szCs w:val="16"/>
                <w:lang w:val="en-GB"/>
              </w:rPr>
            </w:pPr>
            <w:r w:rsidRPr="001F3159">
              <w:rPr>
                <w:sz w:val="16"/>
                <w:szCs w:val="16"/>
                <w:lang w:val="en-GB"/>
              </w:rPr>
              <w:t xml:space="preserve">From </w:t>
            </w:r>
            <w:r w:rsidRPr="001F3159">
              <w:rPr>
                <w:sz w:val="16"/>
                <w:szCs w:val="16"/>
                <w:lang w:val="en-GB"/>
              </w:rPr>
              <w:t>severe</w:t>
            </w:r>
            <w:r w:rsidRPr="001F3159">
              <w:rPr>
                <w:sz w:val="16"/>
                <w:szCs w:val="16"/>
                <w:lang w:val="en-GB"/>
              </w:rPr>
              <w:t xml:space="preserve"> COVID-19 to mild LCOVID</w:t>
            </w:r>
          </w:p>
        </w:tc>
        <w:tc>
          <w:tcPr>
            <w:tcW w:w="598" w:type="pct"/>
          </w:tcPr>
          <w:p w14:paraId="1DD03E5C" w14:textId="1A6D6C2F" w:rsidR="001F3159" w:rsidRPr="001F3159" w:rsidRDefault="001F3159" w:rsidP="001F3159">
            <w:pPr>
              <w:ind w:left="0"/>
              <w:rPr>
                <w:sz w:val="16"/>
                <w:szCs w:val="16"/>
                <w:lang w:val="en-GB"/>
              </w:rPr>
            </w:pPr>
            <w:r w:rsidRPr="001F3159">
              <w:rPr>
                <w:sz w:val="16"/>
                <w:szCs w:val="16"/>
                <w:lang w:val="en-GB"/>
              </w:rPr>
              <w:t>0.10</w:t>
            </w:r>
          </w:p>
        </w:tc>
        <w:tc>
          <w:tcPr>
            <w:tcW w:w="863" w:type="pct"/>
          </w:tcPr>
          <w:p w14:paraId="58F51135" w14:textId="77777777" w:rsidR="001F3159" w:rsidRPr="001F3159" w:rsidRDefault="001F3159" w:rsidP="001F3159">
            <w:pPr>
              <w:ind w:left="0"/>
              <w:rPr>
                <w:sz w:val="16"/>
                <w:szCs w:val="16"/>
                <w:lang w:val="en-GB"/>
              </w:rPr>
            </w:pPr>
          </w:p>
        </w:tc>
        <w:tc>
          <w:tcPr>
            <w:tcW w:w="721" w:type="pct"/>
          </w:tcPr>
          <w:p w14:paraId="4CA20A86" w14:textId="77777777" w:rsidR="001F3159" w:rsidRPr="001F3159" w:rsidRDefault="001F3159" w:rsidP="001F3159">
            <w:pPr>
              <w:ind w:left="0"/>
              <w:rPr>
                <w:sz w:val="16"/>
                <w:szCs w:val="16"/>
                <w:lang w:val="en-GB"/>
              </w:rPr>
            </w:pPr>
          </w:p>
        </w:tc>
        <w:tc>
          <w:tcPr>
            <w:tcW w:w="423" w:type="pct"/>
          </w:tcPr>
          <w:p w14:paraId="7F7AA293" w14:textId="77777777" w:rsidR="001F3159" w:rsidRPr="001F3159" w:rsidRDefault="001F3159" w:rsidP="001F3159">
            <w:pPr>
              <w:ind w:left="0"/>
              <w:rPr>
                <w:sz w:val="16"/>
                <w:szCs w:val="16"/>
                <w:lang w:val="en-GB"/>
              </w:rPr>
            </w:pPr>
          </w:p>
        </w:tc>
      </w:tr>
      <w:tr w:rsidR="001F3159" w:rsidRPr="001F3159" w14:paraId="233F20B1" w14:textId="77777777" w:rsidTr="000B1B66">
        <w:trPr>
          <w:trHeight w:val="20"/>
        </w:trPr>
        <w:tc>
          <w:tcPr>
            <w:tcW w:w="2395" w:type="pct"/>
          </w:tcPr>
          <w:p w14:paraId="2646E607" w14:textId="543D17B8" w:rsidR="001F3159" w:rsidRPr="001F3159" w:rsidRDefault="001F3159" w:rsidP="001F3159">
            <w:pPr>
              <w:ind w:left="0"/>
              <w:rPr>
                <w:sz w:val="16"/>
                <w:szCs w:val="16"/>
                <w:lang w:val="en-GB"/>
              </w:rPr>
            </w:pPr>
            <w:r w:rsidRPr="001F3159">
              <w:rPr>
                <w:sz w:val="16"/>
                <w:szCs w:val="16"/>
                <w:lang w:val="en-GB"/>
              </w:rPr>
              <w:t xml:space="preserve">From </w:t>
            </w:r>
            <w:r w:rsidRPr="001F3159">
              <w:rPr>
                <w:sz w:val="16"/>
                <w:szCs w:val="16"/>
                <w:lang w:val="en-GB"/>
              </w:rPr>
              <w:t>severe</w:t>
            </w:r>
            <w:r w:rsidRPr="001F3159">
              <w:rPr>
                <w:sz w:val="16"/>
                <w:szCs w:val="16"/>
                <w:lang w:val="en-GB"/>
              </w:rPr>
              <w:t xml:space="preserve"> COVID-19 to mod LCOVID</w:t>
            </w:r>
          </w:p>
        </w:tc>
        <w:tc>
          <w:tcPr>
            <w:tcW w:w="598" w:type="pct"/>
          </w:tcPr>
          <w:p w14:paraId="08F356F0" w14:textId="72DC1346" w:rsidR="001F3159" w:rsidRPr="001F3159" w:rsidRDefault="001F3159" w:rsidP="001F3159">
            <w:pPr>
              <w:ind w:left="0"/>
              <w:rPr>
                <w:sz w:val="16"/>
                <w:szCs w:val="16"/>
                <w:lang w:val="en-GB"/>
              </w:rPr>
            </w:pPr>
            <w:r w:rsidRPr="001F3159">
              <w:rPr>
                <w:sz w:val="16"/>
                <w:szCs w:val="16"/>
                <w:lang w:val="en-GB"/>
              </w:rPr>
              <w:t>0.20</w:t>
            </w:r>
          </w:p>
        </w:tc>
        <w:tc>
          <w:tcPr>
            <w:tcW w:w="863" w:type="pct"/>
          </w:tcPr>
          <w:p w14:paraId="7A5AF818" w14:textId="77777777" w:rsidR="001F3159" w:rsidRPr="001F3159" w:rsidRDefault="001F3159" w:rsidP="001F3159">
            <w:pPr>
              <w:ind w:left="0"/>
              <w:rPr>
                <w:sz w:val="16"/>
                <w:szCs w:val="16"/>
                <w:lang w:val="en-GB"/>
              </w:rPr>
            </w:pPr>
          </w:p>
        </w:tc>
        <w:tc>
          <w:tcPr>
            <w:tcW w:w="721" w:type="pct"/>
          </w:tcPr>
          <w:p w14:paraId="0EECB8CB" w14:textId="77777777" w:rsidR="001F3159" w:rsidRPr="001F3159" w:rsidRDefault="001F3159" w:rsidP="001F3159">
            <w:pPr>
              <w:ind w:left="0"/>
              <w:rPr>
                <w:sz w:val="16"/>
                <w:szCs w:val="16"/>
                <w:lang w:val="en-GB"/>
              </w:rPr>
            </w:pPr>
          </w:p>
        </w:tc>
        <w:tc>
          <w:tcPr>
            <w:tcW w:w="423" w:type="pct"/>
          </w:tcPr>
          <w:p w14:paraId="2A79F1D4" w14:textId="77777777" w:rsidR="001F3159" w:rsidRPr="001F3159" w:rsidRDefault="001F3159" w:rsidP="001F3159">
            <w:pPr>
              <w:ind w:left="0"/>
              <w:rPr>
                <w:sz w:val="16"/>
                <w:szCs w:val="16"/>
                <w:lang w:val="en-GB"/>
              </w:rPr>
            </w:pPr>
          </w:p>
        </w:tc>
      </w:tr>
      <w:tr w:rsidR="001F3159" w:rsidRPr="001F3159" w14:paraId="0899D383" w14:textId="77777777" w:rsidTr="000B1B66">
        <w:trPr>
          <w:trHeight w:val="20"/>
        </w:trPr>
        <w:tc>
          <w:tcPr>
            <w:tcW w:w="2395" w:type="pct"/>
          </w:tcPr>
          <w:p w14:paraId="47D5F580" w14:textId="4F29A999" w:rsidR="001F3159" w:rsidRPr="001F3159" w:rsidRDefault="001F3159" w:rsidP="001F3159">
            <w:pPr>
              <w:ind w:left="0"/>
              <w:rPr>
                <w:sz w:val="16"/>
                <w:szCs w:val="16"/>
                <w:lang w:val="en-GB"/>
              </w:rPr>
            </w:pPr>
            <w:r w:rsidRPr="001F3159">
              <w:rPr>
                <w:sz w:val="16"/>
                <w:szCs w:val="16"/>
                <w:lang w:val="en-GB"/>
              </w:rPr>
              <w:t xml:space="preserve">From </w:t>
            </w:r>
            <w:r w:rsidRPr="001F3159">
              <w:rPr>
                <w:sz w:val="16"/>
                <w:szCs w:val="16"/>
                <w:lang w:val="en-GB"/>
              </w:rPr>
              <w:t>severe</w:t>
            </w:r>
            <w:r w:rsidRPr="001F3159">
              <w:rPr>
                <w:sz w:val="16"/>
                <w:szCs w:val="16"/>
                <w:lang w:val="en-GB"/>
              </w:rPr>
              <w:t xml:space="preserve"> COVID-</w:t>
            </w:r>
            <w:r w:rsidRPr="001F3159">
              <w:rPr>
                <w:sz w:val="16"/>
                <w:szCs w:val="16"/>
                <w:lang w:val="en-GB"/>
              </w:rPr>
              <w:t>19 to</w:t>
            </w:r>
            <w:r w:rsidRPr="001F3159">
              <w:rPr>
                <w:sz w:val="16"/>
                <w:szCs w:val="16"/>
                <w:lang w:val="en-GB"/>
              </w:rPr>
              <w:t xml:space="preserve"> severe LCOVID</w:t>
            </w:r>
          </w:p>
        </w:tc>
        <w:tc>
          <w:tcPr>
            <w:tcW w:w="598" w:type="pct"/>
          </w:tcPr>
          <w:p w14:paraId="7638091C" w14:textId="2DE90B70" w:rsidR="001F3159" w:rsidRPr="001F3159" w:rsidRDefault="001F3159" w:rsidP="001F3159">
            <w:pPr>
              <w:ind w:left="0"/>
              <w:rPr>
                <w:sz w:val="16"/>
                <w:szCs w:val="16"/>
                <w:lang w:val="en-GB"/>
              </w:rPr>
            </w:pPr>
            <w:r w:rsidRPr="001F3159">
              <w:rPr>
                <w:sz w:val="16"/>
                <w:szCs w:val="16"/>
                <w:lang w:val="en-GB"/>
              </w:rPr>
              <w:t>0.15</w:t>
            </w:r>
          </w:p>
        </w:tc>
        <w:tc>
          <w:tcPr>
            <w:tcW w:w="863" w:type="pct"/>
          </w:tcPr>
          <w:p w14:paraId="5EC280AA" w14:textId="77777777" w:rsidR="001F3159" w:rsidRPr="001F3159" w:rsidRDefault="001F3159" w:rsidP="001F3159">
            <w:pPr>
              <w:ind w:left="0"/>
              <w:rPr>
                <w:sz w:val="16"/>
                <w:szCs w:val="16"/>
                <w:lang w:val="en-GB"/>
              </w:rPr>
            </w:pPr>
          </w:p>
        </w:tc>
        <w:tc>
          <w:tcPr>
            <w:tcW w:w="721" w:type="pct"/>
          </w:tcPr>
          <w:p w14:paraId="66CEDF95" w14:textId="77777777" w:rsidR="001F3159" w:rsidRPr="001F3159" w:rsidRDefault="001F3159" w:rsidP="001F3159">
            <w:pPr>
              <w:ind w:left="0"/>
              <w:rPr>
                <w:sz w:val="16"/>
                <w:szCs w:val="16"/>
                <w:lang w:val="en-GB"/>
              </w:rPr>
            </w:pPr>
          </w:p>
        </w:tc>
        <w:tc>
          <w:tcPr>
            <w:tcW w:w="423" w:type="pct"/>
          </w:tcPr>
          <w:p w14:paraId="29645190" w14:textId="77777777" w:rsidR="001F3159" w:rsidRPr="001F3159" w:rsidRDefault="001F3159" w:rsidP="001F3159">
            <w:pPr>
              <w:ind w:left="0"/>
              <w:rPr>
                <w:sz w:val="16"/>
                <w:szCs w:val="16"/>
                <w:lang w:val="en-GB"/>
              </w:rPr>
            </w:pPr>
          </w:p>
        </w:tc>
      </w:tr>
      <w:tr w:rsidR="001F3159" w:rsidRPr="001F3159" w14:paraId="39BB5DD9" w14:textId="77777777" w:rsidTr="000B1B66">
        <w:trPr>
          <w:trHeight w:val="20"/>
        </w:trPr>
        <w:tc>
          <w:tcPr>
            <w:tcW w:w="2395" w:type="pct"/>
          </w:tcPr>
          <w:p w14:paraId="0358E0F8" w14:textId="63B3B370" w:rsidR="001F3159" w:rsidRPr="001F3159" w:rsidRDefault="001F3159" w:rsidP="001F3159">
            <w:pPr>
              <w:ind w:left="0"/>
              <w:rPr>
                <w:sz w:val="16"/>
                <w:szCs w:val="16"/>
                <w:lang w:val="en-GB"/>
              </w:rPr>
            </w:pPr>
            <w:r w:rsidRPr="001F3159">
              <w:rPr>
                <w:sz w:val="16"/>
                <w:szCs w:val="16"/>
                <w:lang w:val="en-GB"/>
              </w:rPr>
              <w:t xml:space="preserve">From </w:t>
            </w:r>
            <w:r w:rsidRPr="001F3159">
              <w:rPr>
                <w:sz w:val="16"/>
                <w:szCs w:val="16"/>
                <w:lang w:val="en-GB"/>
              </w:rPr>
              <w:t>critical</w:t>
            </w:r>
            <w:r w:rsidRPr="001F3159">
              <w:rPr>
                <w:sz w:val="16"/>
                <w:szCs w:val="16"/>
                <w:lang w:val="en-GB"/>
              </w:rPr>
              <w:t xml:space="preserve"> COVID-19 to mild LCOVID</w:t>
            </w:r>
          </w:p>
        </w:tc>
        <w:tc>
          <w:tcPr>
            <w:tcW w:w="598" w:type="pct"/>
          </w:tcPr>
          <w:p w14:paraId="03BB4C2F" w14:textId="32C9518F" w:rsidR="001F3159" w:rsidRPr="001F3159" w:rsidRDefault="001F3159" w:rsidP="001F3159">
            <w:pPr>
              <w:ind w:left="0"/>
              <w:rPr>
                <w:sz w:val="16"/>
                <w:szCs w:val="16"/>
                <w:lang w:val="en-GB"/>
              </w:rPr>
            </w:pPr>
            <w:r w:rsidRPr="001F3159">
              <w:rPr>
                <w:sz w:val="16"/>
                <w:szCs w:val="16"/>
                <w:lang w:val="en-GB"/>
              </w:rPr>
              <w:t>0.05</w:t>
            </w:r>
          </w:p>
        </w:tc>
        <w:tc>
          <w:tcPr>
            <w:tcW w:w="863" w:type="pct"/>
          </w:tcPr>
          <w:p w14:paraId="4366627E" w14:textId="12A9AD82" w:rsidR="001F3159" w:rsidRPr="001F3159" w:rsidRDefault="001F3159" w:rsidP="001F3159">
            <w:pPr>
              <w:ind w:left="0"/>
              <w:rPr>
                <w:sz w:val="16"/>
                <w:szCs w:val="16"/>
                <w:lang w:val="en-GB"/>
              </w:rPr>
            </w:pPr>
          </w:p>
        </w:tc>
        <w:tc>
          <w:tcPr>
            <w:tcW w:w="721" w:type="pct"/>
          </w:tcPr>
          <w:p w14:paraId="49DD5730" w14:textId="77777777" w:rsidR="001F3159" w:rsidRPr="001F3159" w:rsidRDefault="001F3159" w:rsidP="001F3159">
            <w:pPr>
              <w:ind w:left="0"/>
              <w:rPr>
                <w:sz w:val="16"/>
                <w:szCs w:val="16"/>
                <w:lang w:val="en-GB"/>
              </w:rPr>
            </w:pPr>
          </w:p>
        </w:tc>
        <w:tc>
          <w:tcPr>
            <w:tcW w:w="423" w:type="pct"/>
          </w:tcPr>
          <w:p w14:paraId="4B6696FE" w14:textId="77777777" w:rsidR="001F3159" w:rsidRPr="001F3159" w:rsidRDefault="001F3159" w:rsidP="001F3159">
            <w:pPr>
              <w:ind w:left="0"/>
              <w:rPr>
                <w:sz w:val="16"/>
                <w:szCs w:val="16"/>
                <w:lang w:val="en-GB"/>
              </w:rPr>
            </w:pPr>
          </w:p>
        </w:tc>
      </w:tr>
      <w:tr w:rsidR="001F3159" w:rsidRPr="001F3159" w14:paraId="68ADEDEA" w14:textId="77777777" w:rsidTr="000B1B66">
        <w:trPr>
          <w:trHeight w:val="20"/>
        </w:trPr>
        <w:tc>
          <w:tcPr>
            <w:tcW w:w="2395" w:type="pct"/>
          </w:tcPr>
          <w:p w14:paraId="640C23EC" w14:textId="3EF513AC" w:rsidR="001F3159" w:rsidRPr="001F3159" w:rsidRDefault="001F3159" w:rsidP="001F3159">
            <w:pPr>
              <w:ind w:left="0"/>
              <w:rPr>
                <w:sz w:val="16"/>
                <w:szCs w:val="16"/>
                <w:lang w:val="en-GB"/>
              </w:rPr>
            </w:pPr>
            <w:r w:rsidRPr="001F3159">
              <w:rPr>
                <w:sz w:val="16"/>
                <w:szCs w:val="16"/>
                <w:lang w:val="en-GB"/>
              </w:rPr>
              <w:t xml:space="preserve">From </w:t>
            </w:r>
            <w:r w:rsidRPr="001F3159">
              <w:rPr>
                <w:sz w:val="16"/>
                <w:szCs w:val="16"/>
                <w:lang w:val="en-GB"/>
              </w:rPr>
              <w:t>critical</w:t>
            </w:r>
            <w:r w:rsidRPr="001F3159">
              <w:rPr>
                <w:sz w:val="16"/>
                <w:szCs w:val="16"/>
                <w:lang w:val="en-GB"/>
              </w:rPr>
              <w:t xml:space="preserve"> COVID-19 to mod LCOVID</w:t>
            </w:r>
          </w:p>
        </w:tc>
        <w:tc>
          <w:tcPr>
            <w:tcW w:w="598" w:type="pct"/>
          </w:tcPr>
          <w:p w14:paraId="40CB099F" w14:textId="7FDC5A37" w:rsidR="001F3159" w:rsidRPr="001F3159" w:rsidRDefault="001F3159" w:rsidP="001F3159">
            <w:pPr>
              <w:ind w:left="0"/>
              <w:rPr>
                <w:sz w:val="16"/>
                <w:szCs w:val="16"/>
                <w:lang w:val="en-GB"/>
              </w:rPr>
            </w:pPr>
            <w:r w:rsidRPr="001F3159">
              <w:rPr>
                <w:sz w:val="16"/>
                <w:szCs w:val="16"/>
                <w:lang w:val="en-GB"/>
              </w:rPr>
              <w:t>0.20</w:t>
            </w:r>
          </w:p>
        </w:tc>
        <w:tc>
          <w:tcPr>
            <w:tcW w:w="863" w:type="pct"/>
          </w:tcPr>
          <w:p w14:paraId="483D0063" w14:textId="77777777" w:rsidR="001F3159" w:rsidRPr="001F3159" w:rsidRDefault="001F3159" w:rsidP="001F3159">
            <w:pPr>
              <w:ind w:left="0"/>
              <w:rPr>
                <w:sz w:val="16"/>
                <w:szCs w:val="16"/>
                <w:lang w:val="en-GB"/>
              </w:rPr>
            </w:pPr>
          </w:p>
        </w:tc>
        <w:tc>
          <w:tcPr>
            <w:tcW w:w="721" w:type="pct"/>
          </w:tcPr>
          <w:p w14:paraId="6744B7D2" w14:textId="77777777" w:rsidR="001F3159" w:rsidRPr="001F3159" w:rsidRDefault="001F3159" w:rsidP="001F3159">
            <w:pPr>
              <w:ind w:left="0"/>
              <w:rPr>
                <w:sz w:val="16"/>
                <w:szCs w:val="16"/>
                <w:lang w:val="en-GB"/>
              </w:rPr>
            </w:pPr>
          </w:p>
        </w:tc>
        <w:tc>
          <w:tcPr>
            <w:tcW w:w="423" w:type="pct"/>
          </w:tcPr>
          <w:p w14:paraId="524CD5AB" w14:textId="77777777" w:rsidR="001F3159" w:rsidRPr="001F3159" w:rsidRDefault="001F3159" w:rsidP="001F3159">
            <w:pPr>
              <w:ind w:left="0"/>
              <w:rPr>
                <w:sz w:val="16"/>
                <w:szCs w:val="16"/>
                <w:lang w:val="en-GB"/>
              </w:rPr>
            </w:pPr>
          </w:p>
        </w:tc>
      </w:tr>
      <w:tr w:rsidR="001F3159" w:rsidRPr="001F3159" w14:paraId="1AA3917F" w14:textId="77777777" w:rsidTr="000B1B66">
        <w:trPr>
          <w:trHeight w:val="20"/>
        </w:trPr>
        <w:tc>
          <w:tcPr>
            <w:tcW w:w="2395" w:type="pct"/>
          </w:tcPr>
          <w:p w14:paraId="738D2051" w14:textId="3FC2E837" w:rsidR="001F3159" w:rsidRPr="001F3159" w:rsidRDefault="001F3159" w:rsidP="001F3159">
            <w:pPr>
              <w:ind w:left="0"/>
              <w:rPr>
                <w:sz w:val="16"/>
                <w:szCs w:val="16"/>
                <w:lang w:val="en-GB"/>
              </w:rPr>
            </w:pPr>
            <w:r w:rsidRPr="001F3159">
              <w:rPr>
                <w:sz w:val="16"/>
                <w:szCs w:val="16"/>
                <w:lang w:val="en-GB"/>
              </w:rPr>
              <w:t xml:space="preserve">From </w:t>
            </w:r>
            <w:r w:rsidRPr="001F3159">
              <w:rPr>
                <w:sz w:val="16"/>
                <w:szCs w:val="16"/>
                <w:lang w:val="en-GB"/>
              </w:rPr>
              <w:t>critical</w:t>
            </w:r>
            <w:r w:rsidRPr="001F3159">
              <w:rPr>
                <w:sz w:val="16"/>
                <w:szCs w:val="16"/>
                <w:lang w:val="en-GB"/>
              </w:rPr>
              <w:t xml:space="preserve"> COVID-</w:t>
            </w:r>
            <w:r w:rsidRPr="001F3159">
              <w:rPr>
                <w:sz w:val="16"/>
                <w:szCs w:val="16"/>
                <w:lang w:val="en-GB"/>
              </w:rPr>
              <w:t>19 to</w:t>
            </w:r>
            <w:r w:rsidRPr="001F3159">
              <w:rPr>
                <w:sz w:val="16"/>
                <w:szCs w:val="16"/>
                <w:lang w:val="en-GB"/>
              </w:rPr>
              <w:t xml:space="preserve"> severe LCOVID</w:t>
            </w:r>
          </w:p>
        </w:tc>
        <w:tc>
          <w:tcPr>
            <w:tcW w:w="598" w:type="pct"/>
          </w:tcPr>
          <w:p w14:paraId="081DBC5D" w14:textId="52B4D83F" w:rsidR="001F3159" w:rsidRPr="001F3159" w:rsidRDefault="001F3159" w:rsidP="001F3159">
            <w:pPr>
              <w:ind w:left="0"/>
              <w:rPr>
                <w:sz w:val="16"/>
                <w:szCs w:val="16"/>
                <w:lang w:val="en-GB"/>
              </w:rPr>
            </w:pPr>
            <w:r w:rsidRPr="001F3159">
              <w:rPr>
                <w:sz w:val="16"/>
                <w:szCs w:val="16"/>
                <w:lang w:val="en-GB"/>
              </w:rPr>
              <w:t>0.25</w:t>
            </w:r>
          </w:p>
        </w:tc>
        <w:tc>
          <w:tcPr>
            <w:tcW w:w="863" w:type="pct"/>
          </w:tcPr>
          <w:p w14:paraId="77CFF5DA" w14:textId="77777777" w:rsidR="001F3159" w:rsidRPr="001F3159" w:rsidRDefault="001F3159" w:rsidP="001F3159">
            <w:pPr>
              <w:ind w:left="0"/>
              <w:rPr>
                <w:sz w:val="16"/>
                <w:szCs w:val="16"/>
                <w:lang w:val="en-GB"/>
              </w:rPr>
            </w:pPr>
          </w:p>
        </w:tc>
        <w:tc>
          <w:tcPr>
            <w:tcW w:w="721" w:type="pct"/>
          </w:tcPr>
          <w:p w14:paraId="0017A3A3" w14:textId="77777777" w:rsidR="001F3159" w:rsidRPr="001F3159" w:rsidRDefault="001F3159" w:rsidP="001F3159">
            <w:pPr>
              <w:ind w:left="0"/>
              <w:rPr>
                <w:sz w:val="16"/>
                <w:szCs w:val="16"/>
                <w:lang w:val="en-GB"/>
              </w:rPr>
            </w:pPr>
          </w:p>
        </w:tc>
        <w:tc>
          <w:tcPr>
            <w:tcW w:w="423" w:type="pct"/>
          </w:tcPr>
          <w:p w14:paraId="25ED4602" w14:textId="77777777" w:rsidR="001F3159" w:rsidRPr="001F3159" w:rsidRDefault="001F3159" w:rsidP="001F3159">
            <w:pPr>
              <w:ind w:left="0"/>
              <w:rPr>
                <w:sz w:val="16"/>
                <w:szCs w:val="16"/>
                <w:lang w:val="en-GB"/>
              </w:rPr>
            </w:pPr>
          </w:p>
        </w:tc>
      </w:tr>
      <w:tr w:rsidR="001F3159" w:rsidRPr="001F3159" w14:paraId="04602CE9" w14:textId="77777777" w:rsidTr="000B1B66">
        <w:trPr>
          <w:trHeight w:val="20"/>
        </w:trPr>
        <w:tc>
          <w:tcPr>
            <w:tcW w:w="5000" w:type="pct"/>
            <w:gridSpan w:val="5"/>
            <w:shd w:val="clear" w:color="auto" w:fill="EDEDED" w:themeFill="accent3" w:themeFillTint="33"/>
          </w:tcPr>
          <w:p w14:paraId="201FF0A8" w14:textId="3059B73C" w:rsidR="001F3159" w:rsidRPr="001F3159" w:rsidRDefault="001F3159" w:rsidP="001F3159">
            <w:pPr>
              <w:ind w:left="0"/>
              <w:rPr>
                <w:b/>
                <w:bCs/>
                <w:sz w:val="16"/>
                <w:szCs w:val="16"/>
                <w:lang w:val="en-GB"/>
              </w:rPr>
            </w:pPr>
            <w:r w:rsidRPr="001F3159">
              <w:rPr>
                <w:b/>
                <w:bCs/>
                <w:sz w:val="16"/>
                <w:szCs w:val="16"/>
                <w:lang w:val="en-GB"/>
              </w:rPr>
              <w:t xml:space="preserve">Utilities </w:t>
            </w:r>
          </w:p>
        </w:tc>
      </w:tr>
      <w:tr w:rsidR="001F3159" w:rsidRPr="001F3159" w14:paraId="44503E0D" w14:textId="77777777" w:rsidTr="000B1B66">
        <w:trPr>
          <w:trHeight w:val="20"/>
        </w:trPr>
        <w:tc>
          <w:tcPr>
            <w:tcW w:w="2395" w:type="pct"/>
          </w:tcPr>
          <w:p w14:paraId="15DB7268" w14:textId="6E2F39E4" w:rsidR="001F3159" w:rsidRPr="001F3159" w:rsidRDefault="001F3159" w:rsidP="001F3159">
            <w:pPr>
              <w:ind w:left="0"/>
              <w:rPr>
                <w:sz w:val="16"/>
                <w:szCs w:val="16"/>
                <w:lang w:val="en-GB"/>
              </w:rPr>
            </w:pPr>
            <w:r w:rsidRPr="001F3159">
              <w:rPr>
                <w:sz w:val="16"/>
                <w:szCs w:val="16"/>
                <w:lang w:val="en-GB"/>
              </w:rPr>
              <w:t>Mild LCOVID</w:t>
            </w:r>
          </w:p>
        </w:tc>
        <w:tc>
          <w:tcPr>
            <w:tcW w:w="598" w:type="pct"/>
          </w:tcPr>
          <w:p w14:paraId="1EC0B9DA" w14:textId="77777777" w:rsidR="001F3159" w:rsidRPr="001F3159" w:rsidRDefault="001F3159" w:rsidP="001F3159">
            <w:pPr>
              <w:ind w:left="0"/>
              <w:rPr>
                <w:sz w:val="16"/>
                <w:szCs w:val="16"/>
                <w:lang w:val="en-GB"/>
              </w:rPr>
            </w:pPr>
          </w:p>
        </w:tc>
        <w:tc>
          <w:tcPr>
            <w:tcW w:w="863" w:type="pct"/>
          </w:tcPr>
          <w:p w14:paraId="62A6B144" w14:textId="77777777" w:rsidR="001F3159" w:rsidRPr="001F3159" w:rsidRDefault="001F3159" w:rsidP="001F3159">
            <w:pPr>
              <w:ind w:left="0"/>
              <w:rPr>
                <w:sz w:val="16"/>
                <w:szCs w:val="16"/>
                <w:lang w:val="en-GB"/>
              </w:rPr>
            </w:pPr>
          </w:p>
        </w:tc>
        <w:tc>
          <w:tcPr>
            <w:tcW w:w="721" w:type="pct"/>
          </w:tcPr>
          <w:p w14:paraId="2FEB6C13" w14:textId="77777777" w:rsidR="001F3159" w:rsidRPr="001F3159" w:rsidRDefault="001F3159" w:rsidP="001F3159">
            <w:pPr>
              <w:ind w:left="0"/>
              <w:rPr>
                <w:sz w:val="16"/>
                <w:szCs w:val="16"/>
                <w:lang w:val="en-GB"/>
              </w:rPr>
            </w:pPr>
          </w:p>
        </w:tc>
        <w:tc>
          <w:tcPr>
            <w:tcW w:w="423" w:type="pct"/>
          </w:tcPr>
          <w:p w14:paraId="759DDDBB" w14:textId="77777777" w:rsidR="001F3159" w:rsidRPr="001F3159" w:rsidRDefault="001F3159" w:rsidP="001F3159">
            <w:pPr>
              <w:ind w:left="0"/>
              <w:rPr>
                <w:sz w:val="16"/>
                <w:szCs w:val="16"/>
                <w:lang w:val="en-GB"/>
              </w:rPr>
            </w:pPr>
          </w:p>
        </w:tc>
      </w:tr>
      <w:tr w:rsidR="001F3159" w:rsidRPr="001F3159" w14:paraId="780C874A" w14:textId="77777777" w:rsidTr="000B1B66">
        <w:trPr>
          <w:trHeight w:val="20"/>
        </w:trPr>
        <w:tc>
          <w:tcPr>
            <w:tcW w:w="2395" w:type="pct"/>
          </w:tcPr>
          <w:p w14:paraId="1258FAEC" w14:textId="5FC1A6FF" w:rsidR="001F3159" w:rsidRPr="001F3159" w:rsidRDefault="001F3159" w:rsidP="001F3159">
            <w:pPr>
              <w:ind w:left="0"/>
              <w:rPr>
                <w:sz w:val="16"/>
                <w:szCs w:val="16"/>
                <w:lang w:val="en-GB"/>
              </w:rPr>
            </w:pPr>
            <w:r w:rsidRPr="001F3159">
              <w:rPr>
                <w:sz w:val="16"/>
                <w:szCs w:val="16"/>
                <w:lang w:val="en-GB"/>
              </w:rPr>
              <w:t>Mod LCOVID</w:t>
            </w:r>
          </w:p>
        </w:tc>
        <w:tc>
          <w:tcPr>
            <w:tcW w:w="598" w:type="pct"/>
          </w:tcPr>
          <w:p w14:paraId="7A9ED9C4" w14:textId="77777777" w:rsidR="001F3159" w:rsidRPr="001F3159" w:rsidRDefault="001F3159" w:rsidP="001F3159">
            <w:pPr>
              <w:ind w:left="0"/>
              <w:rPr>
                <w:sz w:val="16"/>
                <w:szCs w:val="16"/>
                <w:lang w:val="en-GB"/>
              </w:rPr>
            </w:pPr>
          </w:p>
        </w:tc>
        <w:tc>
          <w:tcPr>
            <w:tcW w:w="863" w:type="pct"/>
          </w:tcPr>
          <w:p w14:paraId="3B153096" w14:textId="77777777" w:rsidR="001F3159" w:rsidRPr="001F3159" w:rsidRDefault="001F3159" w:rsidP="001F3159">
            <w:pPr>
              <w:ind w:left="0"/>
              <w:rPr>
                <w:sz w:val="16"/>
                <w:szCs w:val="16"/>
                <w:lang w:val="en-GB"/>
              </w:rPr>
            </w:pPr>
          </w:p>
        </w:tc>
        <w:tc>
          <w:tcPr>
            <w:tcW w:w="721" w:type="pct"/>
          </w:tcPr>
          <w:p w14:paraId="36F5B20D" w14:textId="77777777" w:rsidR="001F3159" w:rsidRPr="001F3159" w:rsidRDefault="001F3159" w:rsidP="001F3159">
            <w:pPr>
              <w:ind w:left="0"/>
              <w:rPr>
                <w:sz w:val="16"/>
                <w:szCs w:val="16"/>
                <w:lang w:val="en-GB"/>
              </w:rPr>
            </w:pPr>
          </w:p>
        </w:tc>
        <w:tc>
          <w:tcPr>
            <w:tcW w:w="423" w:type="pct"/>
          </w:tcPr>
          <w:p w14:paraId="0ABC621C" w14:textId="77777777" w:rsidR="001F3159" w:rsidRPr="001F3159" w:rsidRDefault="001F3159" w:rsidP="001F3159">
            <w:pPr>
              <w:ind w:left="0"/>
              <w:rPr>
                <w:sz w:val="16"/>
                <w:szCs w:val="16"/>
                <w:lang w:val="en-GB"/>
              </w:rPr>
            </w:pPr>
          </w:p>
        </w:tc>
      </w:tr>
      <w:tr w:rsidR="001F3159" w:rsidRPr="001F3159" w14:paraId="5A0C9916" w14:textId="77777777" w:rsidTr="000B1B66">
        <w:trPr>
          <w:trHeight w:val="20"/>
        </w:trPr>
        <w:tc>
          <w:tcPr>
            <w:tcW w:w="2395" w:type="pct"/>
          </w:tcPr>
          <w:p w14:paraId="0C58338A" w14:textId="5540E603" w:rsidR="001F3159" w:rsidRPr="001F3159" w:rsidRDefault="001F3159" w:rsidP="001F3159">
            <w:pPr>
              <w:ind w:left="0"/>
              <w:rPr>
                <w:sz w:val="16"/>
                <w:szCs w:val="16"/>
                <w:lang w:val="en-GB"/>
              </w:rPr>
            </w:pPr>
            <w:r w:rsidRPr="001F3159">
              <w:rPr>
                <w:sz w:val="16"/>
                <w:szCs w:val="16"/>
                <w:lang w:val="en-GB"/>
              </w:rPr>
              <w:t xml:space="preserve">Severe </w:t>
            </w:r>
            <w:r w:rsidRPr="001F3159">
              <w:rPr>
                <w:sz w:val="16"/>
                <w:szCs w:val="16"/>
                <w:lang w:val="en-GB"/>
              </w:rPr>
              <w:t>L</w:t>
            </w:r>
            <w:r w:rsidRPr="001F3159">
              <w:rPr>
                <w:sz w:val="16"/>
                <w:szCs w:val="16"/>
                <w:lang w:val="en-GB"/>
              </w:rPr>
              <w:t>COVID</w:t>
            </w:r>
          </w:p>
        </w:tc>
        <w:tc>
          <w:tcPr>
            <w:tcW w:w="598" w:type="pct"/>
          </w:tcPr>
          <w:p w14:paraId="2EBDF32D" w14:textId="77777777" w:rsidR="001F3159" w:rsidRPr="001F3159" w:rsidRDefault="001F3159" w:rsidP="001F3159">
            <w:pPr>
              <w:ind w:left="0"/>
              <w:rPr>
                <w:sz w:val="16"/>
                <w:szCs w:val="16"/>
                <w:lang w:val="en-GB"/>
              </w:rPr>
            </w:pPr>
          </w:p>
        </w:tc>
        <w:tc>
          <w:tcPr>
            <w:tcW w:w="863" w:type="pct"/>
          </w:tcPr>
          <w:p w14:paraId="4826C81C" w14:textId="77777777" w:rsidR="001F3159" w:rsidRPr="001F3159" w:rsidRDefault="001F3159" w:rsidP="001F3159">
            <w:pPr>
              <w:ind w:left="0"/>
              <w:rPr>
                <w:sz w:val="16"/>
                <w:szCs w:val="16"/>
                <w:lang w:val="en-GB"/>
              </w:rPr>
            </w:pPr>
          </w:p>
        </w:tc>
        <w:tc>
          <w:tcPr>
            <w:tcW w:w="721" w:type="pct"/>
          </w:tcPr>
          <w:p w14:paraId="12D7ADF2" w14:textId="77777777" w:rsidR="001F3159" w:rsidRPr="001F3159" w:rsidRDefault="001F3159" w:rsidP="001F3159">
            <w:pPr>
              <w:ind w:left="0"/>
              <w:rPr>
                <w:sz w:val="16"/>
                <w:szCs w:val="16"/>
                <w:lang w:val="en-GB"/>
              </w:rPr>
            </w:pPr>
          </w:p>
        </w:tc>
        <w:tc>
          <w:tcPr>
            <w:tcW w:w="423" w:type="pct"/>
          </w:tcPr>
          <w:p w14:paraId="7738D33C" w14:textId="77777777" w:rsidR="001F3159" w:rsidRPr="001F3159" w:rsidRDefault="001F3159" w:rsidP="001F3159">
            <w:pPr>
              <w:ind w:left="0"/>
              <w:rPr>
                <w:sz w:val="16"/>
                <w:szCs w:val="16"/>
                <w:lang w:val="en-GB"/>
              </w:rPr>
            </w:pPr>
          </w:p>
        </w:tc>
      </w:tr>
      <w:tr w:rsidR="001F3159" w:rsidRPr="001F3159" w14:paraId="69DDDE62" w14:textId="77777777" w:rsidTr="000B1B66">
        <w:trPr>
          <w:trHeight w:val="20"/>
        </w:trPr>
        <w:tc>
          <w:tcPr>
            <w:tcW w:w="2395" w:type="pct"/>
          </w:tcPr>
          <w:p w14:paraId="461E0DE3" w14:textId="5A529171" w:rsidR="001F3159" w:rsidRPr="001F3159" w:rsidRDefault="001F3159" w:rsidP="001F3159">
            <w:pPr>
              <w:ind w:left="0"/>
              <w:rPr>
                <w:sz w:val="16"/>
                <w:szCs w:val="16"/>
                <w:lang w:val="en-GB"/>
              </w:rPr>
            </w:pPr>
            <w:r w:rsidRPr="001F3159">
              <w:rPr>
                <w:sz w:val="16"/>
                <w:szCs w:val="16"/>
                <w:lang w:val="en-GB"/>
              </w:rPr>
              <w:t>Recover</w:t>
            </w:r>
          </w:p>
        </w:tc>
        <w:tc>
          <w:tcPr>
            <w:tcW w:w="598" w:type="pct"/>
          </w:tcPr>
          <w:p w14:paraId="0A079F06" w14:textId="77777777" w:rsidR="001F3159" w:rsidRPr="001F3159" w:rsidRDefault="001F3159" w:rsidP="001F3159">
            <w:pPr>
              <w:ind w:left="0"/>
              <w:rPr>
                <w:sz w:val="16"/>
                <w:szCs w:val="16"/>
                <w:lang w:val="en-GB"/>
              </w:rPr>
            </w:pPr>
          </w:p>
        </w:tc>
        <w:tc>
          <w:tcPr>
            <w:tcW w:w="863" w:type="pct"/>
          </w:tcPr>
          <w:p w14:paraId="616C6FAF" w14:textId="77777777" w:rsidR="001F3159" w:rsidRPr="001F3159" w:rsidRDefault="001F3159" w:rsidP="001F3159">
            <w:pPr>
              <w:ind w:left="0"/>
              <w:rPr>
                <w:sz w:val="16"/>
                <w:szCs w:val="16"/>
                <w:lang w:val="en-GB"/>
              </w:rPr>
            </w:pPr>
          </w:p>
        </w:tc>
        <w:tc>
          <w:tcPr>
            <w:tcW w:w="721" w:type="pct"/>
          </w:tcPr>
          <w:p w14:paraId="180589DB" w14:textId="77777777" w:rsidR="001F3159" w:rsidRPr="001F3159" w:rsidRDefault="001F3159" w:rsidP="001F3159">
            <w:pPr>
              <w:ind w:left="0"/>
              <w:rPr>
                <w:sz w:val="16"/>
                <w:szCs w:val="16"/>
                <w:lang w:val="en-GB"/>
              </w:rPr>
            </w:pPr>
          </w:p>
        </w:tc>
        <w:tc>
          <w:tcPr>
            <w:tcW w:w="423" w:type="pct"/>
          </w:tcPr>
          <w:p w14:paraId="27866503" w14:textId="77777777" w:rsidR="001F3159" w:rsidRPr="001F3159" w:rsidRDefault="001F3159" w:rsidP="001F3159">
            <w:pPr>
              <w:ind w:left="0"/>
              <w:rPr>
                <w:sz w:val="16"/>
                <w:szCs w:val="16"/>
                <w:lang w:val="en-GB"/>
              </w:rPr>
            </w:pPr>
          </w:p>
        </w:tc>
      </w:tr>
      <w:tr w:rsidR="001F3159" w:rsidRPr="001F3159" w14:paraId="1886C1AE" w14:textId="77777777" w:rsidTr="000B1B66">
        <w:trPr>
          <w:trHeight w:val="20"/>
        </w:trPr>
        <w:tc>
          <w:tcPr>
            <w:tcW w:w="2395" w:type="pct"/>
            <w:shd w:val="clear" w:color="auto" w:fill="EDEDED" w:themeFill="accent3" w:themeFillTint="33"/>
          </w:tcPr>
          <w:p w14:paraId="2AB75518" w14:textId="2CF52C50" w:rsidR="001F3159" w:rsidRPr="001F3159" w:rsidRDefault="001F3159" w:rsidP="001F3159">
            <w:pPr>
              <w:ind w:left="0"/>
              <w:rPr>
                <w:sz w:val="16"/>
                <w:szCs w:val="16"/>
                <w:lang w:val="en-GB"/>
              </w:rPr>
            </w:pPr>
            <w:r w:rsidRPr="001F3159">
              <w:rPr>
                <w:b/>
                <w:bCs/>
                <w:sz w:val="16"/>
                <w:szCs w:val="16"/>
                <w:lang w:val="en-GB"/>
              </w:rPr>
              <w:t>Disability weights</w:t>
            </w:r>
          </w:p>
        </w:tc>
        <w:tc>
          <w:tcPr>
            <w:tcW w:w="598" w:type="pct"/>
            <w:shd w:val="clear" w:color="auto" w:fill="EDEDED" w:themeFill="accent3" w:themeFillTint="33"/>
          </w:tcPr>
          <w:p w14:paraId="564848D8" w14:textId="77777777" w:rsidR="001F3159" w:rsidRPr="001F3159" w:rsidRDefault="001F3159" w:rsidP="001F3159">
            <w:pPr>
              <w:ind w:left="0"/>
              <w:rPr>
                <w:sz w:val="16"/>
                <w:szCs w:val="16"/>
                <w:lang w:val="en-GB"/>
              </w:rPr>
            </w:pPr>
          </w:p>
        </w:tc>
        <w:tc>
          <w:tcPr>
            <w:tcW w:w="863" w:type="pct"/>
            <w:shd w:val="clear" w:color="auto" w:fill="EDEDED" w:themeFill="accent3" w:themeFillTint="33"/>
          </w:tcPr>
          <w:p w14:paraId="2E1F591E" w14:textId="77777777" w:rsidR="001F3159" w:rsidRPr="001F3159" w:rsidRDefault="001F3159" w:rsidP="001F3159">
            <w:pPr>
              <w:ind w:left="0"/>
              <w:rPr>
                <w:sz w:val="16"/>
                <w:szCs w:val="16"/>
                <w:lang w:val="en-GB"/>
              </w:rPr>
            </w:pPr>
          </w:p>
        </w:tc>
        <w:tc>
          <w:tcPr>
            <w:tcW w:w="721" w:type="pct"/>
            <w:shd w:val="clear" w:color="auto" w:fill="EDEDED" w:themeFill="accent3" w:themeFillTint="33"/>
          </w:tcPr>
          <w:p w14:paraId="03AA94CA" w14:textId="77777777" w:rsidR="001F3159" w:rsidRPr="001F3159" w:rsidRDefault="001F3159" w:rsidP="001F3159">
            <w:pPr>
              <w:ind w:left="0"/>
              <w:rPr>
                <w:sz w:val="16"/>
                <w:szCs w:val="16"/>
                <w:lang w:val="en-GB"/>
              </w:rPr>
            </w:pPr>
          </w:p>
        </w:tc>
        <w:tc>
          <w:tcPr>
            <w:tcW w:w="423" w:type="pct"/>
            <w:shd w:val="clear" w:color="auto" w:fill="EDEDED" w:themeFill="accent3" w:themeFillTint="33"/>
          </w:tcPr>
          <w:p w14:paraId="421AC866" w14:textId="77777777" w:rsidR="001F3159" w:rsidRPr="001F3159" w:rsidRDefault="001F3159" w:rsidP="001F3159">
            <w:pPr>
              <w:ind w:left="0"/>
              <w:rPr>
                <w:sz w:val="16"/>
                <w:szCs w:val="16"/>
                <w:lang w:val="en-GB"/>
              </w:rPr>
            </w:pPr>
          </w:p>
        </w:tc>
      </w:tr>
      <w:tr w:rsidR="001F3159" w:rsidRPr="001F3159" w14:paraId="737537C3" w14:textId="77777777" w:rsidTr="000B1B66">
        <w:trPr>
          <w:trHeight w:val="20"/>
        </w:trPr>
        <w:tc>
          <w:tcPr>
            <w:tcW w:w="2395" w:type="pct"/>
          </w:tcPr>
          <w:p w14:paraId="0489A4BE" w14:textId="6B194D55" w:rsidR="001F3159" w:rsidRPr="001F3159" w:rsidRDefault="001F3159" w:rsidP="001F3159">
            <w:pPr>
              <w:ind w:left="0"/>
              <w:rPr>
                <w:sz w:val="16"/>
                <w:szCs w:val="16"/>
                <w:lang w:val="en-GB"/>
              </w:rPr>
            </w:pPr>
            <w:r w:rsidRPr="001F3159">
              <w:rPr>
                <w:sz w:val="16"/>
                <w:szCs w:val="16"/>
                <w:lang w:val="en-GB"/>
              </w:rPr>
              <w:t>Mild LCOVID</w:t>
            </w:r>
          </w:p>
        </w:tc>
        <w:tc>
          <w:tcPr>
            <w:tcW w:w="598" w:type="pct"/>
          </w:tcPr>
          <w:p w14:paraId="2F81B7E2" w14:textId="77777777" w:rsidR="001F3159" w:rsidRPr="001F3159" w:rsidRDefault="001F3159" w:rsidP="001F3159">
            <w:pPr>
              <w:ind w:left="0"/>
              <w:rPr>
                <w:sz w:val="16"/>
                <w:szCs w:val="16"/>
                <w:lang w:val="en-GB"/>
              </w:rPr>
            </w:pPr>
          </w:p>
        </w:tc>
        <w:tc>
          <w:tcPr>
            <w:tcW w:w="863" w:type="pct"/>
          </w:tcPr>
          <w:p w14:paraId="1E782F0C" w14:textId="77777777" w:rsidR="001F3159" w:rsidRPr="001F3159" w:rsidRDefault="001F3159" w:rsidP="001F3159">
            <w:pPr>
              <w:ind w:left="0"/>
              <w:rPr>
                <w:sz w:val="16"/>
                <w:szCs w:val="16"/>
                <w:lang w:val="en-GB"/>
              </w:rPr>
            </w:pPr>
          </w:p>
        </w:tc>
        <w:tc>
          <w:tcPr>
            <w:tcW w:w="721" w:type="pct"/>
          </w:tcPr>
          <w:p w14:paraId="03B19FF4" w14:textId="77777777" w:rsidR="001F3159" w:rsidRPr="001F3159" w:rsidRDefault="001F3159" w:rsidP="001F3159">
            <w:pPr>
              <w:ind w:left="0"/>
              <w:rPr>
                <w:sz w:val="16"/>
                <w:szCs w:val="16"/>
                <w:lang w:val="en-GB"/>
              </w:rPr>
            </w:pPr>
          </w:p>
        </w:tc>
        <w:tc>
          <w:tcPr>
            <w:tcW w:w="423" w:type="pct"/>
          </w:tcPr>
          <w:p w14:paraId="5051F6C8" w14:textId="77777777" w:rsidR="001F3159" w:rsidRPr="001F3159" w:rsidRDefault="001F3159" w:rsidP="001F3159">
            <w:pPr>
              <w:ind w:left="0"/>
              <w:rPr>
                <w:sz w:val="16"/>
                <w:szCs w:val="16"/>
                <w:lang w:val="en-GB"/>
              </w:rPr>
            </w:pPr>
          </w:p>
        </w:tc>
      </w:tr>
      <w:tr w:rsidR="001F3159" w:rsidRPr="001F3159" w14:paraId="6FC5D199" w14:textId="77777777" w:rsidTr="000B1B66">
        <w:trPr>
          <w:trHeight w:val="20"/>
        </w:trPr>
        <w:tc>
          <w:tcPr>
            <w:tcW w:w="2395" w:type="pct"/>
          </w:tcPr>
          <w:p w14:paraId="12AAD4D3" w14:textId="7903A547" w:rsidR="001F3159" w:rsidRPr="001F3159" w:rsidRDefault="001F3159" w:rsidP="001F3159">
            <w:pPr>
              <w:ind w:left="0"/>
              <w:rPr>
                <w:sz w:val="16"/>
                <w:szCs w:val="16"/>
                <w:lang w:val="en-GB"/>
              </w:rPr>
            </w:pPr>
            <w:r w:rsidRPr="001F3159">
              <w:rPr>
                <w:sz w:val="16"/>
                <w:szCs w:val="16"/>
                <w:lang w:val="en-GB"/>
              </w:rPr>
              <w:t>Mod LCOVID</w:t>
            </w:r>
          </w:p>
        </w:tc>
        <w:tc>
          <w:tcPr>
            <w:tcW w:w="598" w:type="pct"/>
          </w:tcPr>
          <w:p w14:paraId="3EB3535B" w14:textId="77777777" w:rsidR="001F3159" w:rsidRPr="001F3159" w:rsidRDefault="001F3159" w:rsidP="001F3159">
            <w:pPr>
              <w:ind w:left="0"/>
              <w:rPr>
                <w:sz w:val="16"/>
                <w:szCs w:val="16"/>
                <w:lang w:val="en-GB"/>
              </w:rPr>
            </w:pPr>
          </w:p>
        </w:tc>
        <w:tc>
          <w:tcPr>
            <w:tcW w:w="863" w:type="pct"/>
          </w:tcPr>
          <w:p w14:paraId="0091A673" w14:textId="77777777" w:rsidR="001F3159" w:rsidRPr="001F3159" w:rsidRDefault="001F3159" w:rsidP="001F3159">
            <w:pPr>
              <w:ind w:left="0"/>
              <w:rPr>
                <w:sz w:val="16"/>
                <w:szCs w:val="16"/>
                <w:lang w:val="en-GB"/>
              </w:rPr>
            </w:pPr>
          </w:p>
        </w:tc>
        <w:tc>
          <w:tcPr>
            <w:tcW w:w="721" w:type="pct"/>
          </w:tcPr>
          <w:p w14:paraId="6EAB3BD4" w14:textId="77777777" w:rsidR="001F3159" w:rsidRPr="001F3159" w:rsidRDefault="001F3159" w:rsidP="001F3159">
            <w:pPr>
              <w:ind w:left="0"/>
              <w:rPr>
                <w:sz w:val="16"/>
                <w:szCs w:val="16"/>
                <w:lang w:val="en-GB"/>
              </w:rPr>
            </w:pPr>
          </w:p>
        </w:tc>
        <w:tc>
          <w:tcPr>
            <w:tcW w:w="423" w:type="pct"/>
          </w:tcPr>
          <w:p w14:paraId="3A231ABF" w14:textId="77777777" w:rsidR="001F3159" w:rsidRPr="001F3159" w:rsidRDefault="001F3159" w:rsidP="001F3159">
            <w:pPr>
              <w:ind w:left="0"/>
              <w:rPr>
                <w:sz w:val="16"/>
                <w:szCs w:val="16"/>
                <w:lang w:val="en-GB"/>
              </w:rPr>
            </w:pPr>
          </w:p>
        </w:tc>
      </w:tr>
      <w:tr w:rsidR="001F3159" w:rsidRPr="001F3159" w14:paraId="01CABC27" w14:textId="77777777" w:rsidTr="000B1B66">
        <w:trPr>
          <w:trHeight w:val="20"/>
        </w:trPr>
        <w:tc>
          <w:tcPr>
            <w:tcW w:w="2395" w:type="pct"/>
          </w:tcPr>
          <w:p w14:paraId="38D25B77" w14:textId="43BFF6EF" w:rsidR="001F3159" w:rsidRPr="001F3159" w:rsidRDefault="001F3159" w:rsidP="001F3159">
            <w:pPr>
              <w:ind w:left="0"/>
              <w:rPr>
                <w:sz w:val="16"/>
                <w:szCs w:val="16"/>
                <w:lang w:val="en-GB"/>
              </w:rPr>
            </w:pPr>
            <w:r w:rsidRPr="001F3159">
              <w:rPr>
                <w:sz w:val="16"/>
                <w:szCs w:val="16"/>
                <w:lang w:val="en-GB"/>
              </w:rPr>
              <w:t>Severe LCOVID</w:t>
            </w:r>
          </w:p>
        </w:tc>
        <w:tc>
          <w:tcPr>
            <w:tcW w:w="598" w:type="pct"/>
          </w:tcPr>
          <w:p w14:paraId="790BA50A" w14:textId="77777777" w:rsidR="001F3159" w:rsidRPr="001F3159" w:rsidRDefault="001F3159" w:rsidP="001F3159">
            <w:pPr>
              <w:ind w:left="0"/>
              <w:rPr>
                <w:sz w:val="16"/>
                <w:szCs w:val="16"/>
                <w:lang w:val="en-GB"/>
              </w:rPr>
            </w:pPr>
          </w:p>
        </w:tc>
        <w:tc>
          <w:tcPr>
            <w:tcW w:w="863" w:type="pct"/>
          </w:tcPr>
          <w:p w14:paraId="4EC77568" w14:textId="77777777" w:rsidR="001F3159" w:rsidRPr="001F3159" w:rsidRDefault="001F3159" w:rsidP="001F3159">
            <w:pPr>
              <w:ind w:left="0"/>
              <w:rPr>
                <w:sz w:val="16"/>
                <w:szCs w:val="16"/>
                <w:lang w:val="en-GB"/>
              </w:rPr>
            </w:pPr>
          </w:p>
        </w:tc>
        <w:tc>
          <w:tcPr>
            <w:tcW w:w="721" w:type="pct"/>
          </w:tcPr>
          <w:p w14:paraId="54EFEB86" w14:textId="77777777" w:rsidR="001F3159" w:rsidRPr="001F3159" w:rsidRDefault="001F3159" w:rsidP="001F3159">
            <w:pPr>
              <w:ind w:left="0"/>
              <w:rPr>
                <w:sz w:val="16"/>
                <w:szCs w:val="16"/>
                <w:lang w:val="en-GB"/>
              </w:rPr>
            </w:pPr>
          </w:p>
        </w:tc>
        <w:tc>
          <w:tcPr>
            <w:tcW w:w="423" w:type="pct"/>
          </w:tcPr>
          <w:p w14:paraId="132B5E3B" w14:textId="77777777" w:rsidR="001F3159" w:rsidRPr="001F3159" w:rsidRDefault="001F3159" w:rsidP="001F3159">
            <w:pPr>
              <w:ind w:left="0"/>
              <w:rPr>
                <w:sz w:val="16"/>
                <w:szCs w:val="16"/>
                <w:lang w:val="en-GB"/>
              </w:rPr>
            </w:pPr>
          </w:p>
        </w:tc>
      </w:tr>
      <w:tr w:rsidR="001F3159" w:rsidRPr="001F3159" w14:paraId="73C2CC9A" w14:textId="77777777" w:rsidTr="000B1B66">
        <w:trPr>
          <w:trHeight w:val="20"/>
        </w:trPr>
        <w:tc>
          <w:tcPr>
            <w:tcW w:w="2395" w:type="pct"/>
          </w:tcPr>
          <w:p w14:paraId="3FBD1036" w14:textId="29B3CFF1" w:rsidR="001F3159" w:rsidRPr="001F3159" w:rsidRDefault="001F3159" w:rsidP="001F3159">
            <w:pPr>
              <w:ind w:left="0"/>
              <w:rPr>
                <w:sz w:val="16"/>
                <w:szCs w:val="16"/>
                <w:lang w:val="en-GB"/>
              </w:rPr>
            </w:pPr>
            <w:r w:rsidRPr="001F3159">
              <w:rPr>
                <w:sz w:val="16"/>
                <w:szCs w:val="16"/>
                <w:lang w:val="en-GB"/>
              </w:rPr>
              <w:t>Recover</w:t>
            </w:r>
          </w:p>
        </w:tc>
        <w:tc>
          <w:tcPr>
            <w:tcW w:w="598" w:type="pct"/>
          </w:tcPr>
          <w:p w14:paraId="5323CAAC" w14:textId="77777777" w:rsidR="001F3159" w:rsidRPr="001F3159" w:rsidRDefault="001F3159" w:rsidP="001F3159">
            <w:pPr>
              <w:ind w:left="0"/>
              <w:rPr>
                <w:sz w:val="16"/>
                <w:szCs w:val="16"/>
                <w:lang w:val="en-GB"/>
              </w:rPr>
            </w:pPr>
          </w:p>
        </w:tc>
        <w:tc>
          <w:tcPr>
            <w:tcW w:w="863" w:type="pct"/>
          </w:tcPr>
          <w:p w14:paraId="1F230745" w14:textId="77777777" w:rsidR="001F3159" w:rsidRPr="001F3159" w:rsidRDefault="001F3159" w:rsidP="001F3159">
            <w:pPr>
              <w:ind w:left="0"/>
              <w:rPr>
                <w:sz w:val="16"/>
                <w:szCs w:val="16"/>
                <w:lang w:val="en-GB"/>
              </w:rPr>
            </w:pPr>
          </w:p>
        </w:tc>
        <w:tc>
          <w:tcPr>
            <w:tcW w:w="721" w:type="pct"/>
          </w:tcPr>
          <w:p w14:paraId="1DDAB34B" w14:textId="77777777" w:rsidR="001F3159" w:rsidRPr="001F3159" w:rsidRDefault="001F3159" w:rsidP="001F3159">
            <w:pPr>
              <w:ind w:left="0"/>
              <w:rPr>
                <w:sz w:val="16"/>
                <w:szCs w:val="16"/>
                <w:lang w:val="en-GB"/>
              </w:rPr>
            </w:pPr>
          </w:p>
        </w:tc>
        <w:tc>
          <w:tcPr>
            <w:tcW w:w="423" w:type="pct"/>
          </w:tcPr>
          <w:p w14:paraId="6A1CF3D3" w14:textId="77777777" w:rsidR="001F3159" w:rsidRPr="001F3159" w:rsidRDefault="001F3159" w:rsidP="001F3159">
            <w:pPr>
              <w:ind w:left="0"/>
              <w:rPr>
                <w:sz w:val="16"/>
                <w:szCs w:val="16"/>
                <w:lang w:val="en-GB"/>
              </w:rPr>
            </w:pPr>
          </w:p>
        </w:tc>
      </w:tr>
      <w:tr w:rsidR="001F3159" w:rsidRPr="001F3159" w14:paraId="143D8143" w14:textId="77777777" w:rsidTr="007C4FB2">
        <w:trPr>
          <w:trHeight w:val="20"/>
        </w:trPr>
        <w:tc>
          <w:tcPr>
            <w:tcW w:w="2395" w:type="pct"/>
            <w:shd w:val="clear" w:color="auto" w:fill="EDEDED" w:themeFill="accent3" w:themeFillTint="33"/>
          </w:tcPr>
          <w:p w14:paraId="2F67A2A0" w14:textId="77777777" w:rsidR="001F3159" w:rsidRPr="001F3159" w:rsidRDefault="001F3159" w:rsidP="007C4FB2">
            <w:pPr>
              <w:ind w:left="0"/>
              <w:rPr>
                <w:b/>
                <w:bCs/>
                <w:sz w:val="16"/>
                <w:szCs w:val="16"/>
                <w:lang w:val="en-GB"/>
              </w:rPr>
            </w:pPr>
            <w:r w:rsidRPr="001F3159">
              <w:rPr>
                <w:b/>
                <w:bCs/>
                <w:sz w:val="16"/>
                <w:szCs w:val="16"/>
                <w:lang w:val="en-GB"/>
              </w:rPr>
              <w:t>Absenteeism days</w:t>
            </w:r>
          </w:p>
        </w:tc>
        <w:tc>
          <w:tcPr>
            <w:tcW w:w="598" w:type="pct"/>
            <w:shd w:val="clear" w:color="auto" w:fill="EDEDED" w:themeFill="accent3" w:themeFillTint="33"/>
          </w:tcPr>
          <w:p w14:paraId="35D6A8DF" w14:textId="77777777" w:rsidR="001F3159" w:rsidRPr="001F3159" w:rsidRDefault="001F3159" w:rsidP="007C4FB2">
            <w:pPr>
              <w:ind w:left="0"/>
              <w:rPr>
                <w:b/>
                <w:bCs/>
                <w:sz w:val="16"/>
                <w:szCs w:val="16"/>
                <w:lang w:val="en-GB"/>
              </w:rPr>
            </w:pPr>
          </w:p>
        </w:tc>
        <w:tc>
          <w:tcPr>
            <w:tcW w:w="863" w:type="pct"/>
            <w:shd w:val="clear" w:color="auto" w:fill="EDEDED" w:themeFill="accent3" w:themeFillTint="33"/>
          </w:tcPr>
          <w:p w14:paraId="07193733" w14:textId="77777777" w:rsidR="001F3159" w:rsidRPr="001F3159" w:rsidRDefault="001F3159" w:rsidP="007C4FB2">
            <w:pPr>
              <w:ind w:left="0"/>
              <w:rPr>
                <w:b/>
                <w:bCs/>
                <w:sz w:val="16"/>
                <w:szCs w:val="16"/>
                <w:lang w:val="en-GB"/>
              </w:rPr>
            </w:pPr>
          </w:p>
        </w:tc>
        <w:tc>
          <w:tcPr>
            <w:tcW w:w="721" w:type="pct"/>
            <w:shd w:val="clear" w:color="auto" w:fill="EDEDED" w:themeFill="accent3" w:themeFillTint="33"/>
          </w:tcPr>
          <w:p w14:paraId="6D675E3D" w14:textId="77777777" w:rsidR="001F3159" w:rsidRPr="001F3159" w:rsidRDefault="001F3159" w:rsidP="007C4FB2">
            <w:pPr>
              <w:ind w:left="0"/>
              <w:rPr>
                <w:b/>
                <w:bCs/>
                <w:sz w:val="16"/>
                <w:szCs w:val="16"/>
                <w:lang w:val="en-GB"/>
              </w:rPr>
            </w:pPr>
          </w:p>
        </w:tc>
        <w:tc>
          <w:tcPr>
            <w:tcW w:w="423" w:type="pct"/>
            <w:shd w:val="clear" w:color="auto" w:fill="EDEDED" w:themeFill="accent3" w:themeFillTint="33"/>
          </w:tcPr>
          <w:p w14:paraId="31974BA3" w14:textId="77777777" w:rsidR="001F3159" w:rsidRPr="001F3159" w:rsidRDefault="001F3159" w:rsidP="007C4FB2">
            <w:pPr>
              <w:ind w:left="0"/>
              <w:rPr>
                <w:b/>
                <w:bCs/>
                <w:sz w:val="16"/>
                <w:szCs w:val="16"/>
                <w:lang w:val="en-GB"/>
              </w:rPr>
            </w:pPr>
          </w:p>
        </w:tc>
      </w:tr>
      <w:tr w:rsidR="001F3159" w:rsidRPr="001F3159" w14:paraId="2AD675BB" w14:textId="77777777" w:rsidTr="007C4FB2">
        <w:trPr>
          <w:trHeight w:val="20"/>
        </w:trPr>
        <w:tc>
          <w:tcPr>
            <w:tcW w:w="2395" w:type="pct"/>
          </w:tcPr>
          <w:p w14:paraId="1694A10A" w14:textId="77777777" w:rsidR="001F3159" w:rsidRPr="001F3159" w:rsidRDefault="001F3159" w:rsidP="007C4FB2">
            <w:pPr>
              <w:ind w:left="0"/>
              <w:rPr>
                <w:sz w:val="16"/>
                <w:szCs w:val="16"/>
                <w:lang w:val="en-GB"/>
              </w:rPr>
            </w:pPr>
            <w:r w:rsidRPr="001F3159">
              <w:rPr>
                <w:sz w:val="16"/>
                <w:szCs w:val="16"/>
                <w:lang w:val="en-GB"/>
              </w:rPr>
              <w:t>Asymp COVID-19</w:t>
            </w:r>
          </w:p>
        </w:tc>
        <w:tc>
          <w:tcPr>
            <w:tcW w:w="598" w:type="pct"/>
          </w:tcPr>
          <w:p w14:paraId="5EF2AADD" w14:textId="77777777" w:rsidR="001F3159" w:rsidRPr="001F3159" w:rsidRDefault="001F3159" w:rsidP="007C4FB2">
            <w:pPr>
              <w:ind w:left="0"/>
              <w:rPr>
                <w:sz w:val="16"/>
                <w:szCs w:val="16"/>
                <w:lang w:val="en-GB"/>
              </w:rPr>
            </w:pPr>
          </w:p>
        </w:tc>
        <w:tc>
          <w:tcPr>
            <w:tcW w:w="863" w:type="pct"/>
          </w:tcPr>
          <w:p w14:paraId="1E91BCE6" w14:textId="77777777" w:rsidR="001F3159" w:rsidRPr="001F3159" w:rsidRDefault="001F3159" w:rsidP="007C4FB2">
            <w:pPr>
              <w:ind w:left="0"/>
              <w:rPr>
                <w:sz w:val="16"/>
                <w:szCs w:val="16"/>
                <w:lang w:val="en-GB"/>
              </w:rPr>
            </w:pPr>
          </w:p>
        </w:tc>
        <w:tc>
          <w:tcPr>
            <w:tcW w:w="721" w:type="pct"/>
          </w:tcPr>
          <w:p w14:paraId="58088A83" w14:textId="77777777" w:rsidR="001F3159" w:rsidRPr="001F3159" w:rsidRDefault="001F3159" w:rsidP="007C4FB2">
            <w:pPr>
              <w:ind w:left="0"/>
              <w:rPr>
                <w:sz w:val="16"/>
                <w:szCs w:val="16"/>
                <w:lang w:val="en-GB"/>
              </w:rPr>
            </w:pPr>
          </w:p>
        </w:tc>
        <w:tc>
          <w:tcPr>
            <w:tcW w:w="423" w:type="pct"/>
          </w:tcPr>
          <w:p w14:paraId="5AB69DF4" w14:textId="77777777" w:rsidR="001F3159" w:rsidRPr="001F3159" w:rsidRDefault="001F3159" w:rsidP="007C4FB2">
            <w:pPr>
              <w:ind w:left="0"/>
              <w:rPr>
                <w:sz w:val="16"/>
                <w:szCs w:val="16"/>
                <w:lang w:val="en-GB"/>
              </w:rPr>
            </w:pPr>
          </w:p>
        </w:tc>
      </w:tr>
      <w:tr w:rsidR="001F3159" w:rsidRPr="001F3159" w14:paraId="70030D29" w14:textId="77777777" w:rsidTr="007C4FB2">
        <w:trPr>
          <w:trHeight w:val="20"/>
        </w:trPr>
        <w:tc>
          <w:tcPr>
            <w:tcW w:w="2395" w:type="pct"/>
          </w:tcPr>
          <w:p w14:paraId="006F437B" w14:textId="77777777" w:rsidR="001F3159" w:rsidRPr="001F3159" w:rsidRDefault="001F3159" w:rsidP="007C4FB2">
            <w:pPr>
              <w:ind w:left="0"/>
              <w:rPr>
                <w:sz w:val="16"/>
                <w:szCs w:val="16"/>
                <w:lang w:val="en-GB"/>
              </w:rPr>
            </w:pPr>
            <w:r w:rsidRPr="001F3159">
              <w:rPr>
                <w:sz w:val="16"/>
                <w:szCs w:val="16"/>
                <w:lang w:val="en-GB"/>
              </w:rPr>
              <w:t>Mild/mod COVID-19</w:t>
            </w:r>
          </w:p>
        </w:tc>
        <w:tc>
          <w:tcPr>
            <w:tcW w:w="598" w:type="pct"/>
          </w:tcPr>
          <w:p w14:paraId="477C702B" w14:textId="77777777" w:rsidR="001F3159" w:rsidRPr="001F3159" w:rsidRDefault="001F3159" w:rsidP="007C4FB2">
            <w:pPr>
              <w:ind w:left="0"/>
              <w:rPr>
                <w:sz w:val="16"/>
                <w:szCs w:val="16"/>
                <w:lang w:val="en-GB"/>
              </w:rPr>
            </w:pPr>
          </w:p>
        </w:tc>
        <w:tc>
          <w:tcPr>
            <w:tcW w:w="863" w:type="pct"/>
          </w:tcPr>
          <w:p w14:paraId="0BE7FB17" w14:textId="77777777" w:rsidR="001F3159" w:rsidRPr="001F3159" w:rsidRDefault="001F3159" w:rsidP="007C4FB2">
            <w:pPr>
              <w:ind w:left="0"/>
              <w:rPr>
                <w:sz w:val="16"/>
                <w:szCs w:val="16"/>
                <w:lang w:val="en-GB"/>
              </w:rPr>
            </w:pPr>
          </w:p>
        </w:tc>
        <w:tc>
          <w:tcPr>
            <w:tcW w:w="721" w:type="pct"/>
          </w:tcPr>
          <w:p w14:paraId="5D985BA6" w14:textId="77777777" w:rsidR="001F3159" w:rsidRPr="001F3159" w:rsidRDefault="001F3159" w:rsidP="007C4FB2">
            <w:pPr>
              <w:ind w:left="0"/>
              <w:rPr>
                <w:sz w:val="16"/>
                <w:szCs w:val="16"/>
                <w:lang w:val="en-GB"/>
              </w:rPr>
            </w:pPr>
          </w:p>
        </w:tc>
        <w:tc>
          <w:tcPr>
            <w:tcW w:w="423" w:type="pct"/>
          </w:tcPr>
          <w:p w14:paraId="3900D548" w14:textId="77777777" w:rsidR="001F3159" w:rsidRPr="001F3159" w:rsidRDefault="001F3159" w:rsidP="007C4FB2">
            <w:pPr>
              <w:ind w:left="0"/>
              <w:rPr>
                <w:sz w:val="16"/>
                <w:szCs w:val="16"/>
                <w:lang w:val="en-GB"/>
              </w:rPr>
            </w:pPr>
          </w:p>
        </w:tc>
      </w:tr>
      <w:tr w:rsidR="001F3159" w:rsidRPr="001F3159" w14:paraId="4B1F5D5A" w14:textId="77777777" w:rsidTr="007C4FB2">
        <w:trPr>
          <w:trHeight w:val="20"/>
        </w:trPr>
        <w:tc>
          <w:tcPr>
            <w:tcW w:w="2395" w:type="pct"/>
          </w:tcPr>
          <w:p w14:paraId="401CCE36" w14:textId="77777777" w:rsidR="001F3159" w:rsidRPr="001F3159" w:rsidRDefault="001F3159" w:rsidP="007C4FB2">
            <w:pPr>
              <w:ind w:left="0"/>
              <w:rPr>
                <w:sz w:val="16"/>
                <w:szCs w:val="16"/>
                <w:lang w:val="en-GB"/>
              </w:rPr>
            </w:pPr>
            <w:r w:rsidRPr="001F3159">
              <w:rPr>
                <w:sz w:val="16"/>
                <w:szCs w:val="16"/>
                <w:lang w:val="en-GB"/>
              </w:rPr>
              <w:t>Severe COVID-19</w:t>
            </w:r>
          </w:p>
        </w:tc>
        <w:tc>
          <w:tcPr>
            <w:tcW w:w="598" w:type="pct"/>
          </w:tcPr>
          <w:p w14:paraId="2C1FD23F" w14:textId="77777777" w:rsidR="001F3159" w:rsidRPr="001F3159" w:rsidRDefault="001F3159" w:rsidP="007C4FB2">
            <w:pPr>
              <w:ind w:left="0"/>
              <w:rPr>
                <w:sz w:val="16"/>
                <w:szCs w:val="16"/>
                <w:lang w:val="en-GB"/>
              </w:rPr>
            </w:pPr>
          </w:p>
        </w:tc>
        <w:tc>
          <w:tcPr>
            <w:tcW w:w="863" w:type="pct"/>
          </w:tcPr>
          <w:p w14:paraId="5BD1928D" w14:textId="77777777" w:rsidR="001F3159" w:rsidRPr="001F3159" w:rsidRDefault="001F3159" w:rsidP="007C4FB2">
            <w:pPr>
              <w:ind w:left="0"/>
              <w:rPr>
                <w:sz w:val="16"/>
                <w:szCs w:val="16"/>
                <w:lang w:val="en-GB"/>
              </w:rPr>
            </w:pPr>
          </w:p>
        </w:tc>
        <w:tc>
          <w:tcPr>
            <w:tcW w:w="721" w:type="pct"/>
          </w:tcPr>
          <w:p w14:paraId="11F018FF" w14:textId="77777777" w:rsidR="001F3159" w:rsidRPr="001F3159" w:rsidRDefault="001F3159" w:rsidP="007C4FB2">
            <w:pPr>
              <w:ind w:left="0"/>
              <w:rPr>
                <w:sz w:val="16"/>
                <w:szCs w:val="16"/>
                <w:lang w:val="en-GB"/>
              </w:rPr>
            </w:pPr>
          </w:p>
        </w:tc>
        <w:tc>
          <w:tcPr>
            <w:tcW w:w="423" w:type="pct"/>
          </w:tcPr>
          <w:p w14:paraId="42FBA615" w14:textId="77777777" w:rsidR="001F3159" w:rsidRPr="001F3159" w:rsidRDefault="001F3159" w:rsidP="007C4FB2">
            <w:pPr>
              <w:ind w:left="0"/>
              <w:rPr>
                <w:sz w:val="16"/>
                <w:szCs w:val="16"/>
                <w:lang w:val="en-GB"/>
              </w:rPr>
            </w:pPr>
          </w:p>
        </w:tc>
      </w:tr>
      <w:tr w:rsidR="001F3159" w:rsidRPr="001F3159" w14:paraId="3D5D1995" w14:textId="77777777" w:rsidTr="007C4FB2">
        <w:trPr>
          <w:trHeight w:val="20"/>
        </w:trPr>
        <w:tc>
          <w:tcPr>
            <w:tcW w:w="2395" w:type="pct"/>
          </w:tcPr>
          <w:p w14:paraId="0D4D2ADA" w14:textId="77777777" w:rsidR="001F3159" w:rsidRPr="001F3159" w:rsidRDefault="001F3159" w:rsidP="007C4FB2">
            <w:pPr>
              <w:ind w:left="0"/>
              <w:rPr>
                <w:sz w:val="16"/>
                <w:szCs w:val="16"/>
                <w:lang w:val="en-GB"/>
              </w:rPr>
            </w:pPr>
            <w:r w:rsidRPr="001F3159">
              <w:rPr>
                <w:sz w:val="16"/>
                <w:szCs w:val="16"/>
                <w:lang w:val="en-GB"/>
              </w:rPr>
              <w:t>Critical COVID-19</w:t>
            </w:r>
          </w:p>
        </w:tc>
        <w:tc>
          <w:tcPr>
            <w:tcW w:w="598" w:type="pct"/>
          </w:tcPr>
          <w:p w14:paraId="6471A8E9" w14:textId="77777777" w:rsidR="001F3159" w:rsidRPr="001F3159" w:rsidRDefault="001F3159" w:rsidP="007C4FB2">
            <w:pPr>
              <w:ind w:left="0"/>
              <w:rPr>
                <w:sz w:val="16"/>
                <w:szCs w:val="16"/>
                <w:lang w:val="en-GB"/>
              </w:rPr>
            </w:pPr>
          </w:p>
        </w:tc>
        <w:tc>
          <w:tcPr>
            <w:tcW w:w="863" w:type="pct"/>
          </w:tcPr>
          <w:p w14:paraId="7769E9ED" w14:textId="77777777" w:rsidR="001F3159" w:rsidRPr="001F3159" w:rsidRDefault="001F3159" w:rsidP="007C4FB2">
            <w:pPr>
              <w:ind w:left="0"/>
              <w:rPr>
                <w:sz w:val="16"/>
                <w:szCs w:val="16"/>
                <w:lang w:val="en-GB"/>
              </w:rPr>
            </w:pPr>
          </w:p>
        </w:tc>
        <w:tc>
          <w:tcPr>
            <w:tcW w:w="721" w:type="pct"/>
          </w:tcPr>
          <w:p w14:paraId="35402FE5" w14:textId="77777777" w:rsidR="001F3159" w:rsidRPr="001F3159" w:rsidRDefault="001F3159" w:rsidP="007C4FB2">
            <w:pPr>
              <w:ind w:left="0"/>
              <w:rPr>
                <w:sz w:val="16"/>
                <w:szCs w:val="16"/>
                <w:lang w:val="en-GB"/>
              </w:rPr>
            </w:pPr>
          </w:p>
        </w:tc>
        <w:tc>
          <w:tcPr>
            <w:tcW w:w="423" w:type="pct"/>
          </w:tcPr>
          <w:p w14:paraId="7A7A3556" w14:textId="77777777" w:rsidR="001F3159" w:rsidRPr="001F3159" w:rsidRDefault="001F3159" w:rsidP="007C4FB2">
            <w:pPr>
              <w:ind w:left="0"/>
              <w:rPr>
                <w:sz w:val="16"/>
                <w:szCs w:val="16"/>
                <w:lang w:val="en-GB"/>
              </w:rPr>
            </w:pPr>
          </w:p>
        </w:tc>
      </w:tr>
      <w:tr w:rsidR="001F3159" w:rsidRPr="001F3159" w14:paraId="0069A533" w14:textId="77777777" w:rsidTr="000B1B66">
        <w:trPr>
          <w:trHeight w:val="20"/>
        </w:trPr>
        <w:tc>
          <w:tcPr>
            <w:tcW w:w="2395" w:type="pct"/>
            <w:shd w:val="clear" w:color="auto" w:fill="EDEDED" w:themeFill="accent3" w:themeFillTint="33"/>
          </w:tcPr>
          <w:p w14:paraId="7724FCEE" w14:textId="6FF351B1" w:rsidR="001F3159" w:rsidRPr="001F3159" w:rsidRDefault="001F3159" w:rsidP="001F3159">
            <w:pPr>
              <w:ind w:left="0"/>
              <w:rPr>
                <w:sz w:val="16"/>
                <w:szCs w:val="16"/>
                <w:lang w:val="en-GB"/>
              </w:rPr>
            </w:pPr>
            <w:r w:rsidRPr="001F3159">
              <w:rPr>
                <w:b/>
                <w:bCs/>
                <w:sz w:val="16"/>
                <w:szCs w:val="16"/>
                <w:lang w:val="en-GB"/>
              </w:rPr>
              <w:t>Unit costs</w:t>
            </w:r>
          </w:p>
        </w:tc>
        <w:tc>
          <w:tcPr>
            <w:tcW w:w="598" w:type="pct"/>
            <w:shd w:val="clear" w:color="auto" w:fill="EDEDED" w:themeFill="accent3" w:themeFillTint="33"/>
          </w:tcPr>
          <w:p w14:paraId="61082D38" w14:textId="77777777" w:rsidR="001F3159" w:rsidRPr="001F3159" w:rsidRDefault="001F3159" w:rsidP="001F3159">
            <w:pPr>
              <w:ind w:left="0"/>
              <w:rPr>
                <w:sz w:val="16"/>
                <w:szCs w:val="16"/>
                <w:lang w:val="en-GB"/>
              </w:rPr>
            </w:pPr>
          </w:p>
        </w:tc>
        <w:tc>
          <w:tcPr>
            <w:tcW w:w="863" w:type="pct"/>
            <w:shd w:val="clear" w:color="auto" w:fill="EDEDED" w:themeFill="accent3" w:themeFillTint="33"/>
          </w:tcPr>
          <w:p w14:paraId="11BBB9CE" w14:textId="77777777" w:rsidR="001F3159" w:rsidRPr="001F3159" w:rsidRDefault="001F3159" w:rsidP="001F3159">
            <w:pPr>
              <w:ind w:left="0"/>
              <w:rPr>
                <w:sz w:val="16"/>
                <w:szCs w:val="16"/>
                <w:lang w:val="en-GB"/>
              </w:rPr>
            </w:pPr>
          </w:p>
        </w:tc>
        <w:tc>
          <w:tcPr>
            <w:tcW w:w="721" w:type="pct"/>
            <w:shd w:val="clear" w:color="auto" w:fill="EDEDED" w:themeFill="accent3" w:themeFillTint="33"/>
          </w:tcPr>
          <w:p w14:paraId="69D3BBFF" w14:textId="77777777" w:rsidR="001F3159" w:rsidRPr="001F3159" w:rsidRDefault="001F3159" w:rsidP="001F3159">
            <w:pPr>
              <w:ind w:left="0"/>
              <w:rPr>
                <w:sz w:val="16"/>
                <w:szCs w:val="16"/>
                <w:lang w:val="en-GB"/>
              </w:rPr>
            </w:pPr>
          </w:p>
        </w:tc>
        <w:tc>
          <w:tcPr>
            <w:tcW w:w="423" w:type="pct"/>
            <w:shd w:val="clear" w:color="auto" w:fill="EDEDED" w:themeFill="accent3" w:themeFillTint="33"/>
          </w:tcPr>
          <w:p w14:paraId="7AE00D42" w14:textId="77777777" w:rsidR="001F3159" w:rsidRPr="001F3159" w:rsidRDefault="001F3159" w:rsidP="001F3159">
            <w:pPr>
              <w:ind w:left="0"/>
              <w:rPr>
                <w:sz w:val="16"/>
                <w:szCs w:val="16"/>
                <w:lang w:val="en-GB"/>
              </w:rPr>
            </w:pPr>
          </w:p>
        </w:tc>
      </w:tr>
      <w:tr w:rsidR="001F3159" w:rsidRPr="001F3159" w14:paraId="29D70301" w14:textId="77777777" w:rsidTr="000B1B66">
        <w:trPr>
          <w:trHeight w:val="20"/>
        </w:trPr>
        <w:tc>
          <w:tcPr>
            <w:tcW w:w="2395" w:type="pct"/>
          </w:tcPr>
          <w:p w14:paraId="56327E21" w14:textId="052190D5" w:rsidR="001F3159" w:rsidRPr="001F3159" w:rsidRDefault="001F3159" w:rsidP="001F3159">
            <w:pPr>
              <w:ind w:left="0"/>
              <w:rPr>
                <w:sz w:val="16"/>
                <w:szCs w:val="16"/>
                <w:lang w:val="en-GB"/>
              </w:rPr>
            </w:pPr>
            <w:r w:rsidRPr="001F3159">
              <w:rPr>
                <w:sz w:val="16"/>
                <w:szCs w:val="16"/>
                <w:lang w:val="en-GB"/>
              </w:rPr>
              <w:t xml:space="preserve">Mild </w:t>
            </w:r>
            <w:r w:rsidRPr="001F3159">
              <w:rPr>
                <w:sz w:val="16"/>
                <w:szCs w:val="16"/>
                <w:lang w:val="en-GB"/>
              </w:rPr>
              <w:t>L</w:t>
            </w:r>
            <w:r w:rsidRPr="001F3159">
              <w:rPr>
                <w:sz w:val="16"/>
                <w:szCs w:val="16"/>
                <w:lang w:val="en-GB"/>
              </w:rPr>
              <w:t>COVID</w:t>
            </w:r>
          </w:p>
        </w:tc>
        <w:tc>
          <w:tcPr>
            <w:tcW w:w="598" w:type="pct"/>
          </w:tcPr>
          <w:p w14:paraId="6A1DA1B6" w14:textId="77777777" w:rsidR="001F3159" w:rsidRPr="001F3159" w:rsidRDefault="001F3159" w:rsidP="001F3159">
            <w:pPr>
              <w:ind w:left="0"/>
              <w:rPr>
                <w:sz w:val="16"/>
                <w:szCs w:val="16"/>
                <w:lang w:val="en-GB"/>
              </w:rPr>
            </w:pPr>
          </w:p>
        </w:tc>
        <w:tc>
          <w:tcPr>
            <w:tcW w:w="863" w:type="pct"/>
          </w:tcPr>
          <w:p w14:paraId="0DD1A846" w14:textId="77777777" w:rsidR="001F3159" w:rsidRPr="001F3159" w:rsidRDefault="001F3159" w:rsidP="001F3159">
            <w:pPr>
              <w:ind w:left="0"/>
              <w:rPr>
                <w:sz w:val="16"/>
                <w:szCs w:val="16"/>
                <w:lang w:val="en-GB"/>
              </w:rPr>
            </w:pPr>
          </w:p>
        </w:tc>
        <w:tc>
          <w:tcPr>
            <w:tcW w:w="721" w:type="pct"/>
          </w:tcPr>
          <w:p w14:paraId="3F314126" w14:textId="77777777" w:rsidR="001F3159" w:rsidRPr="001F3159" w:rsidRDefault="001F3159" w:rsidP="001F3159">
            <w:pPr>
              <w:ind w:left="0"/>
              <w:rPr>
                <w:sz w:val="16"/>
                <w:szCs w:val="16"/>
                <w:lang w:val="en-GB"/>
              </w:rPr>
            </w:pPr>
          </w:p>
        </w:tc>
        <w:tc>
          <w:tcPr>
            <w:tcW w:w="423" w:type="pct"/>
          </w:tcPr>
          <w:p w14:paraId="5F9D1FBA" w14:textId="77777777" w:rsidR="001F3159" w:rsidRPr="001F3159" w:rsidRDefault="001F3159" w:rsidP="001F3159">
            <w:pPr>
              <w:ind w:left="0"/>
              <w:rPr>
                <w:sz w:val="16"/>
                <w:szCs w:val="16"/>
                <w:lang w:val="en-GB"/>
              </w:rPr>
            </w:pPr>
          </w:p>
        </w:tc>
      </w:tr>
      <w:tr w:rsidR="001F3159" w:rsidRPr="001F3159" w14:paraId="59A219FD" w14:textId="77777777" w:rsidTr="000B1B66">
        <w:trPr>
          <w:trHeight w:val="20"/>
        </w:trPr>
        <w:tc>
          <w:tcPr>
            <w:tcW w:w="2395" w:type="pct"/>
          </w:tcPr>
          <w:p w14:paraId="735ABA40" w14:textId="731185AC" w:rsidR="001F3159" w:rsidRPr="001F3159" w:rsidRDefault="001F3159" w:rsidP="001F3159">
            <w:pPr>
              <w:ind w:left="0"/>
              <w:rPr>
                <w:sz w:val="16"/>
                <w:szCs w:val="16"/>
                <w:lang w:val="en-GB"/>
              </w:rPr>
            </w:pPr>
            <w:r w:rsidRPr="001F3159">
              <w:rPr>
                <w:sz w:val="16"/>
                <w:szCs w:val="16"/>
                <w:lang w:val="en-GB"/>
              </w:rPr>
              <w:t>Mod</w:t>
            </w:r>
            <w:r w:rsidRPr="001F3159">
              <w:rPr>
                <w:sz w:val="16"/>
                <w:szCs w:val="16"/>
                <w:lang w:val="en-GB"/>
              </w:rPr>
              <w:t xml:space="preserve"> </w:t>
            </w:r>
            <w:r w:rsidRPr="001F3159">
              <w:rPr>
                <w:sz w:val="16"/>
                <w:szCs w:val="16"/>
                <w:lang w:val="en-GB"/>
              </w:rPr>
              <w:t>LCOVID</w:t>
            </w:r>
          </w:p>
        </w:tc>
        <w:tc>
          <w:tcPr>
            <w:tcW w:w="598" w:type="pct"/>
          </w:tcPr>
          <w:p w14:paraId="7AA818AA" w14:textId="77777777" w:rsidR="001F3159" w:rsidRPr="001F3159" w:rsidRDefault="001F3159" w:rsidP="001F3159">
            <w:pPr>
              <w:ind w:left="0"/>
              <w:rPr>
                <w:sz w:val="16"/>
                <w:szCs w:val="16"/>
                <w:lang w:val="en-GB"/>
              </w:rPr>
            </w:pPr>
          </w:p>
        </w:tc>
        <w:tc>
          <w:tcPr>
            <w:tcW w:w="863" w:type="pct"/>
          </w:tcPr>
          <w:p w14:paraId="1DC735DC" w14:textId="77777777" w:rsidR="001F3159" w:rsidRPr="001F3159" w:rsidRDefault="001F3159" w:rsidP="001F3159">
            <w:pPr>
              <w:ind w:left="0"/>
              <w:rPr>
                <w:sz w:val="16"/>
                <w:szCs w:val="16"/>
                <w:lang w:val="en-GB"/>
              </w:rPr>
            </w:pPr>
          </w:p>
        </w:tc>
        <w:tc>
          <w:tcPr>
            <w:tcW w:w="721" w:type="pct"/>
          </w:tcPr>
          <w:p w14:paraId="7E69F563" w14:textId="77777777" w:rsidR="001F3159" w:rsidRPr="001F3159" w:rsidRDefault="001F3159" w:rsidP="001F3159">
            <w:pPr>
              <w:ind w:left="0"/>
              <w:rPr>
                <w:sz w:val="16"/>
                <w:szCs w:val="16"/>
                <w:lang w:val="en-GB"/>
              </w:rPr>
            </w:pPr>
          </w:p>
        </w:tc>
        <w:tc>
          <w:tcPr>
            <w:tcW w:w="423" w:type="pct"/>
          </w:tcPr>
          <w:p w14:paraId="41F7C735" w14:textId="77777777" w:rsidR="001F3159" w:rsidRPr="001F3159" w:rsidRDefault="001F3159" w:rsidP="001F3159">
            <w:pPr>
              <w:ind w:left="0"/>
              <w:rPr>
                <w:sz w:val="16"/>
                <w:szCs w:val="16"/>
                <w:lang w:val="en-GB"/>
              </w:rPr>
            </w:pPr>
          </w:p>
        </w:tc>
      </w:tr>
      <w:tr w:rsidR="001F3159" w:rsidRPr="001F3159" w14:paraId="3923742A" w14:textId="77777777" w:rsidTr="000B1B66">
        <w:trPr>
          <w:trHeight w:val="20"/>
        </w:trPr>
        <w:tc>
          <w:tcPr>
            <w:tcW w:w="2395" w:type="pct"/>
          </w:tcPr>
          <w:p w14:paraId="5C42451E" w14:textId="78BB7C0D" w:rsidR="001F3159" w:rsidRPr="001F3159" w:rsidRDefault="001F3159" w:rsidP="001F3159">
            <w:pPr>
              <w:ind w:left="0"/>
              <w:rPr>
                <w:sz w:val="16"/>
                <w:szCs w:val="16"/>
                <w:lang w:val="en-GB"/>
              </w:rPr>
            </w:pPr>
            <w:r w:rsidRPr="001F3159">
              <w:rPr>
                <w:sz w:val="16"/>
                <w:szCs w:val="16"/>
                <w:lang w:val="en-GB"/>
              </w:rPr>
              <w:t>Severe</w:t>
            </w:r>
            <w:r w:rsidRPr="001F3159">
              <w:rPr>
                <w:sz w:val="16"/>
                <w:szCs w:val="16"/>
                <w:lang w:val="en-GB"/>
              </w:rPr>
              <w:t xml:space="preserve"> </w:t>
            </w:r>
            <w:r w:rsidRPr="001F3159">
              <w:rPr>
                <w:sz w:val="16"/>
                <w:szCs w:val="16"/>
                <w:lang w:val="en-GB"/>
              </w:rPr>
              <w:t>L</w:t>
            </w:r>
            <w:r w:rsidRPr="001F3159">
              <w:rPr>
                <w:sz w:val="16"/>
                <w:szCs w:val="16"/>
                <w:lang w:val="en-GB"/>
              </w:rPr>
              <w:t>COVID</w:t>
            </w:r>
          </w:p>
        </w:tc>
        <w:tc>
          <w:tcPr>
            <w:tcW w:w="598" w:type="pct"/>
          </w:tcPr>
          <w:p w14:paraId="75626AC9" w14:textId="77777777" w:rsidR="001F3159" w:rsidRPr="001F3159" w:rsidRDefault="001F3159" w:rsidP="001F3159">
            <w:pPr>
              <w:ind w:left="0"/>
              <w:rPr>
                <w:sz w:val="16"/>
                <w:szCs w:val="16"/>
                <w:lang w:val="en-GB"/>
              </w:rPr>
            </w:pPr>
          </w:p>
        </w:tc>
        <w:tc>
          <w:tcPr>
            <w:tcW w:w="863" w:type="pct"/>
          </w:tcPr>
          <w:p w14:paraId="5BA78785" w14:textId="77777777" w:rsidR="001F3159" w:rsidRPr="001F3159" w:rsidRDefault="001F3159" w:rsidP="001F3159">
            <w:pPr>
              <w:ind w:left="0"/>
              <w:rPr>
                <w:sz w:val="16"/>
                <w:szCs w:val="16"/>
                <w:lang w:val="en-GB"/>
              </w:rPr>
            </w:pPr>
          </w:p>
        </w:tc>
        <w:tc>
          <w:tcPr>
            <w:tcW w:w="721" w:type="pct"/>
          </w:tcPr>
          <w:p w14:paraId="4506E5BD" w14:textId="77777777" w:rsidR="001F3159" w:rsidRPr="001F3159" w:rsidRDefault="001F3159" w:rsidP="001F3159">
            <w:pPr>
              <w:ind w:left="0"/>
              <w:rPr>
                <w:sz w:val="16"/>
                <w:szCs w:val="16"/>
                <w:lang w:val="en-GB"/>
              </w:rPr>
            </w:pPr>
          </w:p>
        </w:tc>
        <w:tc>
          <w:tcPr>
            <w:tcW w:w="423" w:type="pct"/>
          </w:tcPr>
          <w:p w14:paraId="34A85722" w14:textId="77777777" w:rsidR="001F3159" w:rsidRPr="001F3159" w:rsidRDefault="001F3159" w:rsidP="001F3159">
            <w:pPr>
              <w:ind w:left="0"/>
              <w:rPr>
                <w:sz w:val="16"/>
                <w:szCs w:val="16"/>
                <w:lang w:val="en-GB"/>
              </w:rPr>
            </w:pPr>
          </w:p>
        </w:tc>
      </w:tr>
      <w:tr w:rsidR="001F3159" w:rsidRPr="001F3159" w14:paraId="4C6E64B0" w14:textId="77777777" w:rsidTr="000B1B66">
        <w:trPr>
          <w:trHeight w:val="20"/>
        </w:trPr>
        <w:tc>
          <w:tcPr>
            <w:tcW w:w="2395" w:type="pct"/>
          </w:tcPr>
          <w:p w14:paraId="2FD5E68E" w14:textId="3401A020" w:rsidR="001F3159" w:rsidRPr="001F3159" w:rsidRDefault="001F3159" w:rsidP="001F3159">
            <w:pPr>
              <w:ind w:left="0"/>
              <w:rPr>
                <w:sz w:val="16"/>
                <w:szCs w:val="16"/>
                <w:lang w:val="en-GB"/>
              </w:rPr>
            </w:pPr>
            <w:r w:rsidRPr="001F3159">
              <w:rPr>
                <w:sz w:val="16"/>
                <w:szCs w:val="16"/>
                <w:lang w:val="en-GB"/>
              </w:rPr>
              <w:t>Recover</w:t>
            </w:r>
          </w:p>
        </w:tc>
        <w:tc>
          <w:tcPr>
            <w:tcW w:w="598" w:type="pct"/>
          </w:tcPr>
          <w:p w14:paraId="3BFA9B1F" w14:textId="77777777" w:rsidR="001F3159" w:rsidRPr="001F3159" w:rsidRDefault="001F3159" w:rsidP="001F3159">
            <w:pPr>
              <w:ind w:left="0"/>
              <w:rPr>
                <w:sz w:val="16"/>
                <w:szCs w:val="16"/>
                <w:lang w:val="en-GB"/>
              </w:rPr>
            </w:pPr>
          </w:p>
        </w:tc>
        <w:tc>
          <w:tcPr>
            <w:tcW w:w="863" w:type="pct"/>
          </w:tcPr>
          <w:p w14:paraId="181DBD52" w14:textId="77777777" w:rsidR="001F3159" w:rsidRPr="001F3159" w:rsidRDefault="001F3159" w:rsidP="001F3159">
            <w:pPr>
              <w:ind w:left="0"/>
              <w:rPr>
                <w:sz w:val="16"/>
                <w:szCs w:val="16"/>
                <w:lang w:val="en-GB"/>
              </w:rPr>
            </w:pPr>
          </w:p>
        </w:tc>
        <w:tc>
          <w:tcPr>
            <w:tcW w:w="721" w:type="pct"/>
          </w:tcPr>
          <w:p w14:paraId="47F4AA16" w14:textId="77777777" w:rsidR="001F3159" w:rsidRPr="001F3159" w:rsidRDefault="001F3159" w:rsidP="001F3159">
            <w:pPr>
              <w:ind w:left="0"/>
              <w:rPr>
                <w:sz w:val="16"/>
                <w:szCs w:val="16"/>
                <w:lang w:val="en-GB"/>
              </w:rPr>
            </w:pPr>
          </w:p>
        </w:tc>
        <w:tc>
          <w:tcPr>
            <w:tcW w:w="423" w:type="pct"/>
          </w:tcPr>
          <w:p w14:paraId="102DE9C8" w14:textId="77777777" w:rsidR="001F3159" w:rsidRPr="001F3159" w:rsidRDefault="001F3159" w:rsidP="001F3159">
            <w:pPr>
              <w:ind w:left="0"/>
              <w:rPr>
                <w:sz w:val="16"/>
                <w:szCs w:val="16"/>
                <w:lang w:val="en-GB"/>
              </w:rPr>
            </w:pPr>
          </w:p>
        </w:tc>
      </w:tr>
      <w:tr w:rsidR="001F3159" w:rsidRPr="001F3159" w14:paraId="728B9A9D" w14:textId="77777777" w:rsidTr="001F3159">
        <w:trPr>
          <w:trHeight w:val="20"/>
        </w:trPr>
        <w:tc>
          <w:tcPr>
            <w:tcW w:w="2395" w:type="pct"/>
          </w:tcPr>
          <w:p w14:paraId="1AAE2286" w14:textId="77777777" w:rsidR="001F3159" w:rsidRPr="001F3159" w:rsidRDefault="001F3159" w:rsidP="007C4FB2">
            <w:pPr>
              <w:ind w:left="0"/>
              <w:rPr>
                <w:sz w:val="16"/>
                <w:szCs w:val="16"/>
                <w:lang w:val="en-GB"/>
              </w:rPr>
            </w:pPr>
            <w:r w:rsidRPr="001F3159">
              <w:rPr>
                <w:sz w:val="16"/>
                <w:szCs w:val="16"/>
                <w:lang w:val="en-GB"/>
              </w:rPr>
              <w:t>Average salary per day – males</w:t>
            </w:r>
          </w:p>
        </w:tc>
        <w:tc>
          <w:tcPr>
            <w:tcW w:w="598" w:type="pct"/>
          </w:tcPr>
          <w:p w14:paraId="256F2202" w14:textId="77777777" w:rsidR="001F3159" w:rsidRPr="001F3159" w:rsidRDefault="001F3159" w:rsidP="007C4FB2">
            <w:pPr>
              <w:ind w:left="0"/>
              <w:rPr>
                <w:sz w:val="16"/>
                <w:szCs w:val="16"/>
                <w:lang w:val="en-GB"/>
              </w:rPr>
            </w:pPr>
          </w:p>
        </w:tc>
        <w:tc>
          <w:tcPr>
            <w:tcW w:w="863" w:type="pct"/>
          </w:tcPr>
          <w:p w14:paraId="33786A76" w14:textId="77777777" w:rsidR="001F3159" w:rsidRPr="001F3159" w:rsidRDefault="001F3159" w:rsidP="007C4FB2">
            <w:pPr>
              <w:ind w:left="0"/>
              <w:rPr>
                <w:sz w:val="16"/>
                <w:szCs w:val="16"/>
                <w:lang w:val="en-GB"/>
              </w:rPr>
            </w:pPr>
          </w:p>
        </w:tc>
        <w:tc>
          <w:tcPr>
            <w:tcW w:w="721" w:type="pct"/>
          </w:tcPr>
          <w:p w14:paraId="2D991280" w14:textId="77777777" w:rsidR="001F3159" w:rsidRPr="001F3159" w:rsidRDefault="001F3159" w:rsidP="007C4FB2">
            <w:pPr>
              <w:ind w:left="0"/>
              <w:rPr>
                <w:sz w:val="16"/>
                <w:szCs w:val="16"/>
                <w:lang w:val="en-GB"/>
              </w:rPr>
            </w:pPr>
          </w:p>
        </w:tc>
        <w:tc>
          <w:tcPr>
            <w:tcW w:w="423" w:type="pct"/>
          </w:tcPr>
          <w:p w14:paraId="646785F9" w14:textId="77777777" w:rsidR="001F3159" w:rsidRPr="001F3159" w:rsidRDefault="001F3159" w:rsidP="007C4FB2">
            <w:pPr>
              <w:ind w:left="0"/>
              <w:rPr>
                <w:sz w:val="16"/>
                <w:szCs w:val="16"/>
                <w:lang w:val="en-GB"/>
              </w:rPr>
            </w:pPr>
          </w:p>
        </w:tc>
      </w:tr>
      <w:tr w:rsidR="001F3159" w:rsidRPr="001F3159" w14:paraId="4949E36F" w14:textId="77777777" w:rsidTr="001F3159">
        <w:trPr>
          <w:trHeight w:val="20"/>
        </w:trPr>
        <w:tc>
          <w:tcPr>
            <w:tcW w:w="2395" w:type="pct"/>
          </w:tcPr>
          <w:p w14:paraId="70B76E38" w14:textId="77777777" w:rsidR="001F3159" w:rsidRPr="001F3159" w:rsidRDefault="001F3159" w:rsidP="007C4FB2">
            <w:pPr>
              <w:ind w:left="0"/>
              <w:rPr>
                <w:sz w:val="16"/>
                <w:szCs w:val="16"/>
                <w:lang w:val="en-GB"/>
              </w:rPr>
            </w:pPr>
            <w:r w:rsidRPr="001F3159">
              <w:rPr>
                <w:sz w:val="16"/>
                <w:szCs w:val="16"/>
                <w:lang w:val="en-GB"/>
              </w:rPr>
              <w:t>Average salary per day – females</w:t>
            </w:r>
          </w:p>
        </w:tc>
        <w:tc>
          <w:tcPr>
            <w:tcW w:w="598" w:type="pct"/>
          </w:tcPr>
          <w:p w14:paraId="480C5DD8" w14:textId="77777777" w:rsidR="001F3159" w:rsidRPr="001F3159" w:rsidRDefault="001F3159" w:rsidP="007C4FB2">
            <w:pPr>
              <w:ind w:left="0"/>
              <w:rPr>
                <w:sz w:val="16"/>
                <w:szCs w:val="16"/>
                <w:lang w:val="en-GB"/>
              </w:rPr>
            </w:pPr>
          </w:p>
        </w:tc>
        <w:tc>
          <w:tcPr>
            <w:tcW w:w="863" w:type="pct"/>
          </w:tcPr>
          <w:p w14:paraId="1D78F8EB" w14:textId="77777777" w:rsidR="001F3159" w:rsidRPr="001F3159" w:rsidRDefault="001F3159" w:rsidP="007C4FB2">
            <w:pPr>
              <w:ind w:left="0"/>
              <w:rPr>
                <w:sz w:val="16"/>
                <w:szCs w:val="16"/>
                <w:lang w:val="en-GB"/>
              </w:rPr>
            </w:pPr>
          </w:p>
        </w:tc>
        <w:tc>
          <w:tcPr>
            <w:tcW w:w="721" w:type="pct"/>
          </w:tcPr>
          <w:p w14:paraId="44F213DB" w14:textId="77777777" w:rsidR="001F3159" w:rsidRPr="001F3159" w:rsidRDefault="001F3159" w:rsidP="007C4FB2">
            <w:pPr>
              <w:ind w:left="0"/>
              <w:rPr>
                <w:sz w:val="16"/>
                <w:szCs w:val="16"/>
                <w:lang w:val="en-GB"/>
              </w:rPr>
            </w:pPr>
          </w:p>
        </w:tc>
        <w:tc>
          <w:tcPr>
            <w:tcW w:w="423" w:type="pct"/>
          </w:tcPr>
          <w:p w14:paraId="15F09326" w14:textId="77777777" w:rsidR="001F3159" w:rsidRPr="001F3159" w:rsidRDefault="001F3159" w:rsidP="007C4FB2">
            <w:pPr>
              <w:ind w:left="0"/>
              <w:rPr>
                <w:sz w:val="16"/>
                <w:szCs w:val="16"/>
                <w:lang w:val="en-GB"/>
              </w:rPr>
            </w:pPr>
          </w:p>
        </w:tc>
      </w:tr>
    </w:tbl>
    <w:p w14:paraId="77DC9AD1" w14:textId="77777777" w:rsidR="00480E47" w:rsidRPr="00480E47" w:rsidRDefault="00480E47" w:rsidP="00D73702">
      <w:pPr>
        <w:ind w:left="0"/>
        <w:rPr>
          <w:sz w:val="24"/>
          <w:szCs w:val="24"/>
          <w:lang w:val="en-GB"/>
        </w:rPr>
      </w:pPr>
    </w:p>
    <w:p w14:paraId="41C10B8E" w14:textId="62FE5F74" w:rsidR="00D73702" w:rsidRDefault="00D73702" w:rsidP="00D73702">
      <w:pPr>
        <w:ind w:left="0"/>
        <w:rPr>
          <w:b/>
          <w:bCs/>
          <w:sz w:val="24"/>
          <w:szCs w:val="24"/>
          <w:lang w:val="en-GB"/>
        </w:rPr>
      </w:pPr>
      <w:r>
        <w:rPr>
          <w:b/>
          <w:bCs/>
          <w:sz w:val="24"/>
          <w:szCs w:val="24"/>
          <w:lang w:val="en-GB"/>
        </w:rPr>
        <w:lastRenderedPageBreak/>
        <w:br w:type="page"/>
      </w:r>
    </w:p>
    <w:p w14:paraId="575E9EB2" w14:textId="1EF1EA95" w:rsidR="00D73702" w:rsidRDefault="00D73702" w:rsidP="00792707">
      <w:pPr>
        <w:ind w:left="0"/>
        <w:rPr>
          <w:b/>
          <w:bCs/>
          <w:sz w:val="24"/>
          <w:szCs w:val="24"/>
          <w:lang w:val="en-GB"/>
        </w:rPr>
      </w:pPr>
      <w:r>
        <w:rPr>
          <w:b/>
          <w:bCs/>
          <w:sz w:val="24"/>
          <w:szCs w:val="24"/>
          <w:lang w:val="en-GB"/>
        </w:rPr>
        <w:lastRenderedPageBreak/>
        <w:t>APPENDIX I</w:t>
      </w:r>
    </w:p>
    <w:p w14:paraId="49D2B176" w14:textId="0D46274E" w:rsidR="00792707" w:rsidRDefault="00792707" w:rsidP="00792707">
      <w:pPr>
        <w:ind w:left="0"/>
        <w:rPr>
          <w:b/>
          <w:bCs/>
          <w:sz w:val="24"/>
          <w:szCs w:val="24"/>
          <w:lang w:val="en-GB"/>
        </w:rPr>
      </w:pPr>
      <w:r>
        <w:rPr>
          <w:b/>
          <w:bCs/>
          <w:sz w:val="24"/>
          <w:szCs w:val="24"/>
          <w:lang w:val="en-GB"/>
        </w:rPr>
        <w:t xml:space="preserve">Data requirements </w:t>
      </w:r>
    </w:p>
    <w:p w14:paraId="32EED987" w14:textId="77777777" w:rsidR="00792707" w:rsidRPr="000E70CE" w:rsidRDefault="00792707" w:rsidP="00792707">
      <w:pPr>
        <w:ind w:left="0"/>
        <w:rPr>
          <w:b/>
          <w:bCs/>
          <w:sz w:val="24"/>
          <w:szCs w:val="24"/>
          <w:lang w:val="en-GB"/>
        </w:rPr>
      </w:pPr>
      <w:r w:rsidRPr="00447FC1">
        <w:rPr>
          <w:i/>
          <w:iCs/>
          <w:sz w:val="24"/>
          <w:szCs w:val="24"/>
          <w:lang w:val="en-GB"/>
        </w:rPr>
        <w:t>Demographic data</w:t>
      </w:r>
      <w:r>
        <w:rPr>
          <w:i/>
          <w:iCs/>
          <w:sz w:val="24"/>
          <w:szCs w:val="24"/>
          <w:lang w:val="en-GB"/>
        </w:rPr>
        <w:t xml:space="preserve"> from Kenya’s population in 2020</w:t>
      </w:r>
    </w:p>
    <w:tbl>
      <w:tblPr>
        <w:tblStyle w:val="TableGrid"/>
        <w:tblW w:w="0" w:type="auto"/>
        <w:tblLook w:val="04A0" w:firstRow="1" w:lastRow="0" w:firstColumn="1" w:lastColumn="0" w:noHBand="0" w:noVBand="1"/>
      </w:tblPr>
      <w:tblGrid>
        <w:gridCol w:w="2816"/>
        <w:gridCol w:w="2759"/>
        <w:gridCol w:w="2529"/>
        <w:gridCol w:w="912"/>
      </w:tblGrid>
      <w:tr w:rsidR="00792707" w:rsidRPr="00E377DB" w14:paraId="0BCE0DCE" w14:textId="77777777" w:rsidTr="00601A0F">
        <w:trPr>
          <w:trHeight w:val="255"/>
        </w:trPr>
        <w:tc>
          <w:tcPr>
            <w:tcW w:w="2816" w:type="dxa"/>
          </w:tcPr>
          <w:p w14:paraId="101BEBD5" w14:textId="77777777" w:rsidR="00792707" w:rsidRPr="00E377DB" w:rsidRDefault="00792707" w:rsidP="00601A0F">
            <w:pPr>
              <w:ind w:left="0"/>
              <w:rPr>
                <w:rFonts w:cstheme="minorHAnsi"/>
                <w:b/>
                <w:bCs/>
                <w:sz w:val="24"/>
                <w:szCs w:val="24"/>
                <w:lang w:val="en-GB"/>
              </w:rPr>
            </w:pPr>
            <w:r w:rsidRPr="00E377DB">
              <w:rPr>
                <w:rFonts w:cstheme="minorHAnsi"/>
                <w:b/>
                <w:bCs/>
                <w:sz w:val="24"/>
                <w:szCs w:val="24"/>
                <w:lang w:val="en-GB"/>
              </w:rPr>
              <w:t>Age</w:t>
            </w:r>
          </w:p>
        </w:tc>
        <w:tc>
          <w:tcPr>
            <w:tcW w:w="2759" w:type="dxa"/>
          </w:tcPr>
          <w:p w14:paraId="1A33116A" w14:textId="77777777" w:rsidR="00792707" w:rsidRPr="00E377DB" w:rsidRDefault="00792707" w:rsidP="00601A0F">
            <w:pPr>
              <w:ind w:left="0"/>
              <w:rPr>
                <w:rFonts w:cstheme="minorHAnsi"/>
                <w:b/>
                <w:bCs/>
                <w:sz w:val="24"/>
                <w:szCs w:val="24"/>
                <w:lang w:val="en-GB"/>
              </w:rPr>
            </w:pPr>
            <w:r w:rsidRPr="00E377DB">
              <w:rPr>
                <w:rFonts w:cstheme="minorHAnsi"/>
                <w:b/>
                <w:bCs/>
                <w:sz w:val="24"/>
                <w:szCs w:val="24"/>
                <w:lang w:val="en-GB"/>
              </w:rPr>
              <w:t>Male</w:t>
            </w:r>
          </w:p>
        </w:tc>
        <w:tc>
          <w:tcPr>
            <w:tcW w:w="2529" w:type="dxa"/>
          </w:tcPr>
          <w:p w14:paraId="342FCA7A" w14:textId="77777777" w:rsidR="00792707" w:rsidRPr="00E377DB" w:rsidRDefault="00792707" w:rsidP="00601A0F">
            <w:pPr>
              <w:ind w:left="0"/>
              <w:rPr>
                <w:rFonts w:cstheme="minorHAnsi"/>
                <w:b/>
                <w:bCs/>
                <w:sz w:val="24"/>
                <w:szCs w:val="24"/>
                <w:lang w:val="en-GB"/>
              </w:rPr>
            </w:pPr>
            <w:r w:rsidRPr="00E377DB">
              <w:rPr>
                <w:rFonts w:cstheme="minorHAnsi"/>
                <w:b/>
                <w:bCs/>
                <w:sz w:val="24"/>
                <w:szCs w:val="24"/>
                <w:lang w:val="en-GB"/>
              </w:rPr>
              <w:t>Female</w:t>
            </w:r>
          </w:p>
        </w:tc>
        <w:tc>
          <w:tcPr>
            <w:tcW w:w="912" w:type="dxa"/>
          </w:tcPr>
          <w:p w14:paraId="2877824A" w14:textId="77777777" w:rsidR="00792707" w:rsidRPr="00E377DB" w:rsidRDefault="00792707" w:rsidP="00601A0F">
            <w:pPr>
              <w:ind w:left="0"/>
              <w:rPr>
                <w:rFonts w:cstheme="minorHAnsi"/>
                <w:b/>
                <w:bCs/>
                <w:sz w:val="24"/>
                <w:szCs w:val="24"/>
                <w:lang w:val="en-GB"/>
              </w:rPr>
            </w:pPr>
            <w:r w:rsidRPr="00E377DB">
              <w:rPr>
                <w:rFonts w:cstheme="minorHAnsi"/>
                <w:b/>
                <w:bCs/>
                <w:sz w:val="24"/>
                <w:szCs w:val="24"/>
                <w:lang w:val="en-GB"/>
              </w:rPr>
              <w:t>Source</w:t>
            </w:r>
          </w:p>
        </w:tc>
      </w:tr>
      <w:tr w:rsidR="00792707" w:rsidRPr="00E377DB" w14:paraId="796CE647" w14:textId="77777777" w:rsidTr="00601A0F">
        <w:trPr>
          <w:trHeight w:val="276"/>
        </w:trPr>
        <w:tc>
          <w:tcPr>
            <w:tcW w:w="2816" w:type="dxa"/>
          </w:tcPr>
          <w:p w14:paraId="7AF43ECC" w14:textId="77777777" w:rsidR="00792707" w:rsidRPr="00E377DB" w:rsidRDefault="00792707" w:rsidP="00601A0F">
            <w:pPr>
              <w:ind w:left="0"/>
              <w:rPr>
                <w:rFonts w:cstheme="minorHAnsi"/>
                <w:sz w:val="24"/>
                <w:szCs w:val="24"/>
                <w:lang w:val="en-GB"/>
              </w:rPr>
            </w:pPr>
            <w:r w:rsidRPr="00E377DB">
              <w:rPr>
                <w:rStyle w:val="Strong"/>
                <w:rFonts w:cstheme="minorHAnsi"/>
                <w:color w:val="000000"/>
                <w:sz w:val="24"/>
                <w:szCs w:val="24"/>
                <w:shd w:val="clear" w:color="auto" w:fill="FFFFFF"/>
              </w:rPr>
              <w:t>0-14 years</w:t>
            </w:r>
          </w:p>
        </w:tc>
        <w:tc>
          <w:tcPr>
            <w:tcW w:w="2759" w:type="dxa"/>
          </w:tcPr>
          <w:p w14:paraId="071A0356" w14:textId="77777777" w:rsidR="00792707" w:rsidRPr="00E377DB" w:rsidRDefault="00792707" w:rsidP="00601A0F">
            <w:pPr>
              <w:ind w:left="0"/>
              <w:rPr>
                <w:rFonts w:cstheme="minorHAnsi"/>
                <w:sz w:val="24"/>
                <w:szCs w:val="24"/>
                <w:lang w:val="en-GB"/>
              </w:rPr>
            </w:pPr>
            <w:r w:rsidRPr="00E377DB">
              <w:rPr>
                <w:rFonts w:cstheme="minorHAnsi"/>
                <w:color w:val="000000"/>
                <w:sz w:val="24"/>
                <w:szCs w:val="24"/>
                <w:shd w:val="clear" w:color="auto" w:fill="FFFFFF"/>
              </w:rPr>
              <w:t>10,412,321</w:t>
            </w:r>
          </w:p>
        </w:tc>
        <w:tc>
          <w:tcPr>
            <w:tcW w:w="2529" w:type="dxa"/>
          </w:tcPr>
          <w:p w14:paraId="0BFEAB06" w14:textId="77777777" w:rsidR="00792707" w:rsidRPr="00E377DB" w:rsidRDefault="00792707" w:rsidP="00601A0F">
            <w:pPr>
              <w:ind w:left="0"/>
              <w:rPr>
                <w:rFonts w:cstheme="minorHAnsi"/>
                <w:sz w:val="24"/>
                <w:szCs w:val="24"/>
                <w:lang w:val="en-GB"/>
              </w:rPr>
            </w:pPr>
            <w:r w:rsidRPr="00E377DB">
              <w:rPr>
                <w:rFonts w:cstheme="minorHAnsi"/>
                <w:color w:val="000000"/>
                <w:sz w:val="24"/>
                <w:szCs w:val="24"/>
                <w:shd w:val="clear" w:color="auto" w:fill="FFFFFF"/>
              </w:rPr>
              <w:t>10,310,908</w:t>
            </w:r>
          </w:p>
        </w:tc>
        <w:tc>
          <w:tcPr>
            <w:tcW w:w="912" w:type="dxa"/>
          </w:tcPr>
          <w:p w14:paraId="43F3C22C" w14:textId="49A1D700" w:rsidR="00792707" w:rsidRPr="00E377DB" w:rsidRDefault="00792707" w:rsidP="00601A0F">
            <w:pPr>
              <w:ind w:left="0"/>
              <w:rPr>
                <w:rFonts w:cstheme="minorHAnsi"/>
                <w:color w:val="000000"/>
                <w:sz w:val="24"/>
                <w:szCs w:val="24"/>
                <w:shd w:val="clear" w:color="auto" w:fill="FFFFFF"/>
              </w:rPr>
            </w:pPr>
            <w:r w:rsidRPr="00E377DB">
              <w:rPr>
                <w:rFonts w:cstheme="minorHAnsi"/>
                <w:color w:val="000000"/>
                <w:sz w:val="24"/>
                <w:szCs w:val="24"/>
                <w:shd w:val="clear" w:color="auto" w:fill="FFFFFF"/>
              </w:rPr>
              <w:fldChar w:fldCharType="begin"/>
            </w:r>
            <w:r w:rsidR="00785BD2">
              <w:rPr>
                <w:rFonts w:cstheme="minorHAnsi"/>
                <w:color w:val="000000"/>
                <w:sz w:val="24"/>
                <w:szCs w:val="24"/>
                <w:shd w:val="clear" w:color="auto" w:fill="FFFFFF"/>
              </w:rPr>
              <w:instrText xml:space="preserve"> ADDIN ZOTERO_ITEM CSL_CITATION {"citationID":"TRKnzCvJ","properties":{"formattedCitation":"\\super 30\\nosupersub{}","plainCitation":"30","noteIndex":0},"citationItems":[{"id":7855,"uris":["http://zotero.org/users/3111854/items/TTEVGWP5"],"itemData":{"id":7855,"type":"webpage","abstract":"Facts and statistics about the Age structure of Kenya. Updated as of 2020.","language":"en","title":"Kenya Age structure - Demographics","URL":"https://www.indexmundi.com/kenya/age_structure.html","accessed":{"date-parts":[["2022",6,15]]}}}],"schema":"https://github.com/citation-style-language/schema/raw/master/csl-citation.json"} </w:instrText>
            </w:r>
            <w:r w:rsidRPr="00E377DB">
              <w:rPr>
                <w:rFonts w:cstheme="minorHAnsi"/>
                <w:color w:val="000000"/>
                <w:sz w:val="24"/>
                <w:szCs w:val="24"/>
                <w:shd w:val="clear" w:color="auto" w:fill="FFFFFF"/>
              </w:rPr>
              <w:fldChar w:fldCharType="separate"/>
            </w:r>
            <w:r w:rsidR="00785BD2" w:rsidRPr="00785BD2">
              <w:rPr>
                <w:rFonts w:ascii="Calibri" w:hAnsi="Calibri" w:cs="Calibri"/>
                <w:sz w:val="24"/>
                <w:szCs w:val="24"/>
                <w:vertAlign w:val="superscript"/>
              </w:rPr>
              <w:t>30</w:t>
            </w:r>
            <w:r w:rsidRPr="00E377DB">
              <w:rPr>
                <w:rFonts w:cstheme="minorHAnsi"/>
                <w:color w:val="000000"/>
                <w:sz w:val="24"/>
                <w:szCs w:val="24"/>
                <w:shd w:val="clear" w:color="auto" w:fill="FFFFFF"/>
              </w:rPr>
              <w:fldChar w:fldCharType="end"/>
            </w:r>
          </w:p>
        </w:tc>
      </w:tr>
      <w:tr w:rsidR="00792707" w:rsidRPr="00E377DB" w14:paraId="333BE445" w14:textId="77777777" w:rsidTr="00601A0F">
        <w:trPr>
          <w:trHeight w:val="276"/>
        </w:trPr>
        <w:tc>
          <w:tcPr>
            <w:tcW w:w="2816" w:type="dxa"/>
          </w:tcPr>
          <w:p w14:paraId="61CB18E4" w14:textId="77777777" w:rsidR="00792707" w:rsidRPr="00E377DB" w:rsidRDefault="00792707" w:rsidP="00601A0F">
            <w:pPr>
              <w:ind w:left="0"/>
              <w:rPr>
                <w:rFonts w:cstheme="minorHAnsi"/>
                <w:sz w:val="24"/>
                <w:szCs w:val="24"/>
                <w:lang w:val="en-GB"/>
              </w:rPr>
            </w:pPr>
            <w:r w:rsidRPr="00E377DB">
              <w:rPr>
                <w:rStyle w:val="Strong"/>
                <w:rFonts w:cstheme="minorHAnsi"/>
                <w:color w:val="000000"/>
                <w:sz w:val="24"/>
                <w:szCs w:val="24"/>
                <w:shd w:val="clear" w:color="auto" w:fill="FFFFFF"/>
              </w:rPr>
              <w:t>15-24 years</w:t>
            </w:r>
          </w:p>
        </w:tc>
        <w:tc>
          <w:tcPr>
            <w:tcW w:w="2759" w:type="dxa"/>
          </w:tcPr>
          <w:p w14:paraId="4786E0A2" w14:textId="77777777" w:rsidR="00792707" w:rsidRPr="00E377DB" w:rsidRDefault="00792707" w:rsidP="00601A0F">
            <w:pPr>
              <w:ind w:left="0"/>
              <w:rPr>
                <w:rFonts w:cstheme="minorHAnsi"/>
                <w:sz w:val="24"/>
                <w:szCs w:val="24"/>
                <w:lang w:val="en-GB"/>
              </w:rPr>
            </w:pPr>
            <w:r w:rsidRPr="00E377DB">
              <w:rPr>
                <w:rFonts w:cstheme="minorHAnsi"/>
                <w:color w:val="000000"/>
                <w:sz w:val="24"/>
                <w:szCs w:val="24"/>
                <w:shd w:val="clear" w:color="auto" w:fill="FFFFFF"/>
              </w:rPr>
              <w:t>5,486,641</w:t>
            </w:r>
          </w:p>
        </w:tc>
        <w:tc>
          <w:tcPr>
            <w:tcW w:w="2529" w:type="dxa"/>
          </w:tcPr>
          <w:p w14:paraId="1C647FB8" w14:textId="77777777" w:rsidR="00792707" w:rsidRPr="00E377DB" w:rsidRDefault="00792707" w:rsidP="00601A0F">
            <w:pPr>
              <w:ind w:left="0"/>
              <w:rPr>
                <w:rFonts w:cstheme="minorHAnsi"/>
                <w:sz w:val="24"/>
                <w:szCs w:val="24"/>
                <w:lang w:val="en-GB"/>
              </w:rPr>
            </w:pPr>
            <w:r w:rsidRPr="00E377DB">
              <w:rPr>
                <w:rFonts w:cstheme="minorHAnsi"/>
                <w:color w:val="000000"/>
                <w:sz w:val="24"/>
                <w:szCs w:val="24"/>
                <w:shd w:val="clear" w:color="auto" w:fill="FFFFFF"/>
              </w:rPr>
              <w:t>5,460,372</w:t>
            </w:r>
          </w:p>
        </w:tc>
        <w:tc>
          <w:tcPr>
            <w:tcW w:w="912" w:type="dxa"/>
          </w:tcPr>
          <w:p w14:paraId="568479A7" w14:textId="55BDCB5D" w:rsidR="00792707" w:rsidRPr="00E377DB" w:rsidRDefault="00792707" w:rsidP="00601A0F">
            <w:pPr>
              <w:ind w:left="0"/>
              <w:rPr>
                <w:rFonts w:cstheme="minorHAnsi"/>
                <w:color w:val="000000"/>
                <w:sz w:val="24"/>
                <w:szCs w:val="24"/>
                <w:shd w:val="clear" w:color="auto" w:fill="FFFFFF"/>
              </w:rPr>
            </w:pPr>
            <w:r w:rsidRPr="00E377DB">
              <w:rPr>
                <w:rFonts w:cstheme="minorHAnsi"/>
                <w:color w:val="000000"/>
                <w:sz w:val="24"/>
                <w:szCs w:val="24"/>
                <w:shd w:val="clear" w:color="auto" w:fill="FFFFFF"/>
              </w:rPr>
              <w:fldChar w:fldCharType="begin"/>
            </w:r>
            <w:r w:rsidR="00785BD2">
              <w:rPr>
                <w:rFonts w:cstheme="minorHAnsi"/>
                <w:color w:val="000000"/>
                <w:sz w:val="24"/>
                <w:szCs w:val="24"/>
                <w:shd w:val="clear" w:color="auto" w:fill="FFFFFF"/>
              </w:rPr>
              <w:instrText xml:space="preserve"> ADDIN ZOTERO_ITEM CSL_CITATION {"citationID":"EuItbEZy","properties":{"formattedCitation":"\\super 30\\nosupersub{}","plainCitation":"30","noteIndex":0},"citationItems":[{"id":7855,"uris":["http://zotero.org/users/3111854/items/TTEVGWP5"],"itemData":{"id":7855,"type":"webpage","abstract":"Facts and statistics about the Age structure of Kenya. Updated as of 2020.","language":"en","title":"Kenya Age structure - Demographics","URL":"https://www.indexmundi.com/kenya/age_structure.html","accessed":{"date-parts":[["2022",6,15]]}}}],"schema":"https://github.com/citation-style-language/schema/raw/master/csl-citation.json"} </w:instrText>
            </w:r>
            <w:r w:rsidRPr="00E377DB">
              <w:rPr>
                <w:rFonts w:cstheme="minorHAnsi"/>
                <w:color w:val="000000"/>
                <w:sz w:val="24"/>
                <w:szCs w:val="24"/>
                <w:shd w:val="clear" w:color="auto" w:fill="FFFFFF"/>
              </w:rPr>
              <w:fldChar w:fldCharType="separate"/>
            </w:r>
            <w:r w:rsidR="00785BD2" w:rsidRPr="00785BD2">
              <w:rPr>
                <w:rFonts w:ascii="Calibri" w:hAnsi="Calibri" w:cs="Calibri"/>
                <w:sz w:val="24"/>
                <w:szCs w:val="24"/>
                <w:vertAlign w:val="superscript"/>
              </w:rPr>
              <w:t>30</w:t>
            </w:r>
            <w:r w:rsidRPr="00E377DB">
              <w:rPr>
                <w:rFonts w:cstheme="minorHAnsi"/>
                <w:color w:val="000000"/>
                <w:sz w:val="24"/>
                <w:szCs w:val="24"/>
                <w:shd w:val="clear" w:color="auto" w:fill="FFFFFF"/>
              </w:rPr>
              <w:fldChar w:fldCharType="end"/>
            </w:r>
          </w:p>
        </w:tc>
      </w:tr>
      <w:tr w:rsidR="00792707" w:rsidRPr="00E377DB" w14:paraId="139C72CC" w14:textId="77777777" w:rsidTr="00601A0F">
        <w:trPr>
          <w:trHeight w:val="265"/>
        </w:trPr>
        <w:tc>
          <w:tcPr>
            <w:tcW w:w="2816" w:type="dxa"/>
          </w:tcPr>
          <w:p w14:paraId="1BB0F46C" w14:textId="77777777" w:rsidR="00792707" w:rsidRPr="00E377DB" w:rsidRDefault="00792707" w:rsidP="00601A0F">
            <w:pPr>
              <w:ind w:left="0"/>
              <w:rPr>
                <w:rFonts w:cstheme="minorHAnsi"/>
                <w:sz w:val="24"/>
                <w:szCs w:val="24"/>
                <w:lang w:val="en-GB"/>
              </w:rPr>
            </w:pPr>
            <w:r w:rsidRPr="00E377DB">
              <w:rPr>
                <w:rStyle w:val="Strong"/>
                <w:rFonts w:cstheme="minorHAnsi"/>
                <w:color w:val="000000"/>
                <w:sz w:val="24"/>
                <w:szCs w:val="24"/>
                <w:shd w:val="clear" w:color="auto" w:fill="FFFFFF"/>
              </w:rPr>
              <w:t>25-54 years</w:t>
            </w:r>
          </w:p>
        </w:tc>
        <w:tc>
          <w:tcPr>
            <w:tcW w:w="2759" w:type="dxa"/>
          </w:tcPr>
          <w:p w14:paraId="6E9DA667" w14:textId="77777777" w:rsidR="00792707" w:rsidRPr="00E377DB" w:rsidRDefault="00792707" w:rsidP="00601A0F">
            <w:pPr>
              <w:ind w:left="0"/>
              <w:rPr>
                <w:rFonts w:cstheme="minorHAnsi"/>
                <w:sz w:val="24"/>
                <w:szCs w:val="24"/>
                <w:lang w:val="en-GB"/>
              </w:rPr>
            </w:pPr>
            <w:r w:rsidRPr="00E377DB">
              <w:rPr>
                <w:rFonts w:cstheme="minorHAnsi"/>
                <w:color w:val="000000"/>
                <w:sz w:val="24"/>
                <w:szCs w:val="24"/>
                <w:shd w:val="clear" w:color="auto" w:fill="FFFFFF"/>
              </w:rPr>
              <w:t>9,046,946</w:t>
            </w:r>
          </w:p>
        </w:tc>
        <w:tc>
          <w:tcPr>
            <w:tcW w:w="2529" w:type="dxa"/>
          </w:tcPr>
          <w:p w14:paraId="3105AF16" w14:textId="77777777" w:rsidR="00792707" w:rsidRPr="00E377DB" w:rsidRDefault="00792707" w:rsidP="00601A0F">
            <w:pPr>
              <w:ind w:left="0"/>
              <w:rPr>
                <w:rFonts w:cstheme="minorHAnsi"/>
                <w:sz w:val="24"/>
                <w:szCs w:val="24"/>
                <w:lang w:val="en-GB"/>
              </w:rPr>
            </w:pPr>
            <w:r w:rsidRPr="00E377DB">
              <w:rPr>
                <w:rFonts w:cstheme="minorHAnsi"/>
                <w:color w:val="000000"/>
                <w:sz w:val="24"/>
                <w:szCs w:val="24"/>
                <w:shd w:val="clear" w:color="auto" w:fill="FFFFFF"/>
              </w:rPr>
              <w:t>9,021,207</w:t>
            </w:r>
          </w:p>
        </w:tc>
        <w:tc>
          <w:tcPr>
            <w:tcW w:w="912" w:type="dxa"/>
          </w:tcPr>
          <w:p w14:paraId="421AA799" w14:textId="62A4638F" w:rsidR="00792707" w:rsidRPr="00E377DB" w:rsidRDefault="00792707" w:rsidP="00601A0F">
            <w:pPr>
              <w:ind w:left="0"/>
              <w:rPr>
                <w:rFonts w:cstheme="minorHAnsi"/>
                <w:color w:val="000000"/>
                <w:sz w:val="24"/>
                <w:szCs w:val="24"/>
                <w:shd w:val="clear" w:color="auto" w:fill="FFFFFF"/>
              </w:rPr>
            </w:pPr>
            <w:r w:rsidRPr="00E377DB">
              <w:rPr>
                <w:rFonts w:cstheme="minorHAnsi"/>
                <w:color w:val="000000"/>
                <w:sz w:val="24"/>
                <w:szCs w:val="24"/>
                <w:shd w:val="clear" w:color="auto" w:fill="FFFFFF"/>
              </w:rPr>
              <w:fldChar w:fldCharType="begin"/>
            </w:r>
            <w:r w:rsidR="00785BD2">
              <w:rPr>
                <w:rFonts w:cstheme="minorHAnsi"/>
                <w:color w:val="000000"/>
                <w:sz w:val="24"/>
                <w:szCs w:val="24"/>
                <w:shd w:val="clear" w:color="auto" w:fill="FFFFFF"/>
              </w:rPr>
              <w:instrText xml:space="preserve"> ADDIN ZOTERO_ITEM CSL_CITATION {"citationID":"VPMbAwTG","properties":{"formattedCitation":"\\super 30\\nosupersub{}","plainCitation":"30","noteIndex":0},"citationItems":[{"id":7855,"uris":["http://zotero.org/users/3111854/items/TTEVGWP5"],"itemData":{"id":7855,"type":"webpage","abstract":"Facts and statistics about the Age structure of Kenya. Updated as of 2020.","language":"en","title":"Kenya Age structure - Demographics","URL":"https://www.indexmundi.com/kenya/age_structure.html","accessed":{"date-parts":[["2022",6,15]]}}}],"schema":"https://github.com/citation-style-language/schema/raw/master/csl-citation.json"} </w:instrText>
            </w:r>
            <w:r w:rsidRPr="00E377DB">
              <w:rPr>
                <w:rFonts w:cstheme="minorHAnsi"/>
                <w:color w:val="000000"/>
                <w:sz w:val="24"/>
                <w:szCs w:val="24"/>
                <w:shd w:val="clear" w:color="auto" w:fill="FFFFFF"/>
              </w:rPr>
              <w:fldChar w:fldCharType="separate"/>
            </w:r>
            <w:r w:rsidR="00785BD2" w:rsidRPr="00785BD2">
              <w:rPr>
                <w:rFonts w:ascii="Calibri" w:hAnsi="Calibri" w:cs="Calibri"/>
                <w:sz w:val="24"/>
                <w:szCs w:val="24"/>
                <w:vertAlign w:val="superscript"/>
              </w:rPr>
              <w:t>30</w:t>
            </w:r>
            <w:r w:rsidRPr="00E377DB">
              <w:rPr>
                <w:rFonts w:cstheme="minorHAnsi"/>
                <w:color w:val="000000"/>
                <w:sz w:val="24"/>
                <w:szCs w:val="24"/>
                <w:shd w:val="clear" w:color="auto" w:fill="FFFFFF"/>
              </w:rPr>
              <w:fldChar w:fldCharType="end"/>
            </w:r>
          </w:p>
        </w:tc>
      </w:tr>
      <w:tr w:rsidR="00792707" w:rsidRPr="00E377DB" w14:paraId="612D554D" w14:textId="77777777" w:rsidTr="00601A0F">
        <w:trPr>
          <w:trHeight w:val="276"/>
        </w:trPr>
        <w:tc>
          <w:tcPr>
            <w:tcW w:w="2816" w:type="dxa"/>
          </w:tcPr>
          <w:p w14:paraId="73ECCA42" w14:textId="77777777" w:rsidR="00792707" w:rsidRPr="00E377DB" w:rsidRDefault="00792707" w:rsidP="00601A0F">
            <w:pPr>
              <w:ind w:left="0"/>
              <w:rPr>
                <w:rFonts w:cstheme="minorHAnsi"/>
                <w:sz w:val="24"/>
                <w:szCs w:val="24"/>
                <w:lang w:val="en-GB"/>
              </w:rPr>
            </w:pPr>
            <w:r w:rsidRPr="00E377DB">
              <w:rPr>
                <w:rStyle w:val="Strong"/>
                <w:rFonts w:cstheme="minorHAnsi"/>
                <w:color w:val="000000"/>
                <w:sz w:val="24"/>
                <w:szCs w:val="24"/>
                <w:shd w:val="clear" w:color="auto" w:fill="FFFFFF"/>
              </w:rPr>
              <w:t>55-64 years</w:t>
            </w:r>
          </w:p>
        </w:tc>
        <w:tc>
          <w:tcPr>
            <w:tcW w:w="2759" w:type="dxa"/>
          </w:tcPr>
          <w:p w14:paraId="5E18311F" w14:textId="77777777" w:rsidR="00792707" w:rsidRPr="00E377DB" w:rsidRDefault="00792707" w:rsidP="00601A0F">
            <w:pPr>
              <w:ind w:left="0"/>
              <w:rPr>
                <w:rFonts w:cstheme="minorHAnsi"/>
                <w:sz w:val="24"/>
                <w:szCs w:val="24"/>
                <w:lang w:val="en-GB"/>
              </w:rPr>
            </w:pPr>
            <w:r w:rsidRPr="00E377DB">
              <w:rPr>
                <w:rFonts w:cstheme="minorHAnsi"/>
                <w:color w:val="000000"/>
                <w:sz w:val="24"/>
                <w:szCs w:val="24"/>
                <w:shd w:val="clear" w:color="auto" w:fill="FFFFFF"/>
              </w:rPr>
              <w:t>1,053,202</w:t>
            </w:r>
          </w:p>
        </w:tc>
        <w:tc>
          <w:tcPr>
            <w:tcW w:w="2529" w:type="dxa"/>
          </w:tcPr>
          <w:p w14:paraId="612168DF" w14:textId="77777777" w:rsidR="00792707" w:rsidRPr="00E377DB" w:rsidRDefault="00792707" w:rsidP="00601A0F">
            <w:pPr>
              <w:ind w:left="0"/>
              <w:rPr>
                <w:rFonts w:cstheme="minorHAnsi"/>
                <w:sz w:val="24"/>
                <w:szCs w:val="24"/>
                <w:lang w:val="en-GB"/>
              </w:rPr>
            </w:pPr>
            <w:r w:rsidRPr="00E377DB">
              <w:rPr>
                <w:rFonts w:cstheme="minorHAnsi"/>
                <w:color w:val="000000"/>
                <w:sz w:val="24"/>
                <w:szCs w:val="24"/>
                <w:shd w:val="clear" w:color="auto" w:fill="FFFFFF"/>
              </w:rPr>
              <w:t>1,093,305</w:t>
            </w:r>
          </w:p>
        </w:tc>
        <w:tc>
          <w:tcPr>
            <w:tcW w:w="912" w:type="dxa"/>
          </w:tcPr>
          <w:p w14:paraId="59C12174" w14:textId="324C599F" w:rsidR="00792707" w:rsidRPr="00E377DB" w:rsidRDefault="00792707" w:rsidP="00601A0F">
            <w:pPr>
              <w:ind w:left="0"/>
              <w:rPr>
                <w:rFonts w:cstheme="minorHAnsi"/>
                <w:color w:val="000000"/>
                <w:sz w:val="24"/>
                <w:szCs w:val="24"/>
                <w:shd w:val="clear" w:color="auto" w:fill="FFFFFF"/>
              </w:rPr>
            </w:pPr>
            <w:r w:rsidRPr="00E377DB">
              <w:rPr>
                <w:rFonts w:cstheme="minorHAnsi"/>
                <w:color w:val="000000"/>
                <w:sz w:val="24"/>
                <w:szCs w:val="24"/>
                <w:shd w:val="clear" w:color="auto" w:fill="FFFFFF"/>
              </w:rPr>
              <w:fldChar w:fldCharType="begin"/>
            </w:r>
            <w:r w:rsidR="00785BD2">
              <w:rPr>
                <w:rFonts w:cstheme="minorHAnsi"/>
                <w:color w:val="000000"/>
                <w:sz w:val="24"/>
                <w:szCs w:val="24"/>
                <w:shd w:val="clear" w:color="auto" w:fill="FFFFFF"/>
              </w:rPr>
              <w:instrText xml:space="preserve"> ADDIN ZOTERO_ITEM CSL_CITATION {"citationID":"631ijEiv","properties":{"formattedCitation":"\\super 30\\nosupersub{}","plainCitation":"30","noteIndex":0},"citationItems":[{"id":7855,"uris":["http://zotero.org/users/3111854/items/TTEVGWP5"],"itemData":{"id":7855,"type":"webpage","abstract":"Facts and statistics about the Age structure of Kenya. Updated as of 2020.","language":"en","title":"Kenya Age structure - Demographics","URL":"https://www.indexmundi.com/kenya/age_structure.html","accessed":{"date-parts":[["2022",6,15]]}}}],"schema":"https://github.com/citation-style-language/schema/raw/master/csl-citation.json"} </w:instrText>
            </w:r>
            <w:r w:rsidRPr="00E377DB">
              <w:rPr>
                <w:rFonts w:cstheme="minorHAnsi"/>
                <w:color w:val="000000"/>
                <w:sz w:val="24"/>
                <w:szCs w:val="24"/>
                <w:shd w:val="clear" w:color="auto" w:fill="FFFFFF"/>
              </w:rPr>
              <w:fldChar w:fldCharType="separate"/>
            </w:r>
            <w:r w:rsidR="00785BD2" w:rsidRPr="00785BD2">
              <w:rPr>
                <w:rFonts w:ascii="Calibri" w:hAnsi="Calibri" w:cs="Calibri"/>
                <w:sz w:val="24"/>
                <w:szCs w:val="24"/>
                <w:vertAlign w:val="superscript"/>
              </w:rPr>
              <w:t>30</w:t>
            </w:r>
            <w:r w:rsidRPr="00E377DB">
              <w:rPr>
                <w:rFonts w:cstheme="minorHAnsi"/>
                <w:color w:val="000000"/>
                <w:sz w:val="24"/>
                <w:szCs w:val="24"/>
                <w:shd w:val="clear" w:color="auto" w:fill="FFFFFF"/>
              </w:rPr>
              <w:fldChar w:fldCharType="end"/>
            </w:r>
          </w:p>
        </w:tc>
      </w:tr>
      <w:tr w:rsidR="00792707" w:rsidRPr="00E377DB" w14:paraId="66AAD402" w14:textId="77777777" w:rsidTr="00601A0F">
        <w:trPr>
          <w:trHeight w:val="359"/>
        </w:trPr>
        <w:tc>
          <w:tcPr>
            <w:tcW w:w="2816" w:type="dxa"/>
          </w:tcPr>
          <w:p w14:paraId="232E55F9" w14:textId="77777777" w:rsidR="00792707" w:rsidRPr="00E377DB" w:rsidRDefault="00792707" w:rsidP="00601A0F">
            <w:pPr>
              <w:ind w:left="0"/>
              <w:rPr>
                <w:rFonts w:cstheme="minorHAnsi"/>
                <w:sz w:val="24"/>
                <w:szCs w:val="24"/>
                <w:lang w:val="en-GB"/>
              </w:rPr>
            </w:pPr>
            <w:r w:rsidRPr="00E377DB">
              <w:rPr>
                <w:rStyle w:val="Strong"/>
                <w:rFonts w:cstheme="minorHAnsi"/>
                <w:color w:val="000000"/>
                <w:sz w:val="24"/>
                <w:szCs w:val="24"/>
                <w:shd w:val="clear" w:color="auto" w:fill="FFFFFF"/>
              </w:rPr>
              <w:t>65 years and over</w:t>
            </w:r>
          </w:p>
        </w:tc>
        <w:tc>
          <w:tcPr>
            <w:tcW w:w="2759" w:type="dxa"/>
          </w:tcPr>
          <w:p w14:paraId="43A4F39E" w14:textId="77777777" w:rsidR="00792707" w:rsidRPr="00E377DB" w:rsidRDefault="00792707" w:rsidP="00601A0F">
            <w:pPr>
              <w:ind w:left="0"/>
              <w:rPr>
                <w:rFonts w:cstheme="minorHAnsi"/>
                <w:color w:val="000000"/>
                <w:sz w:val="24"/>
                <w:szCs w:val="24"/>
                <w:shd w:val="clear" w:color="auto" w:fill="FFFFFF"/>
              </w:rPr>
            </w:pPr>
            <w:r w:rsidRPr="00E377DB">
              <w:rPr>
                <w:rFonts w:cstheme="minorHAnsi"/>
                <w:color w:val="000000"/>
                <w:sz w:val="24"/>
                <w:szCs w:val="24"/>
                <w:shd w:val="clear" w:color="auto" w:fill="FFFFFF"/>
              </w:rPr>
              <w:t>750,988</w:t>
            </w:r>
          </w:p>
        </w:tc>
        <w:tc>
          <w:tcPr>
            <w:tcW w:w="2529" w:type="dxa"/>
          </w:tcPr>
          <w:p w14:paraId="2A22DD26" w14:textId="77777777" w:rsidR="00792707" w:rsidRPr="00E377DB" w:rsidRDefault="00792707" w:rsidP="00601A0F">
            <w:pPr>
              <w:ind w:left="0"/>
              <w:rPr>
                <w:rFonts w:cstheme="minorHAnsi"/>
                <w:color w:val="000000"/>
                <w:sz w:val="24"/>
                <w:szCs w:val="24"/>
                <w:shd w:val="clear" w:color="auto" w:fill="FFFFFF"/>
              </w:rPr>
            </w:pPr>
            <w:r w:rsidRPr="00E377DB">
              <w:rPr>
                <w:rFonts w:cstheme="minorHAnsi"/>
                <w:color w:val="000000"/>
                <w:sz w:val="24"/>
                <w:szCs w:val="24"/>
                <w:shd w:val="clear" w:color="auto" w:fill="FFFFFF"/>
              </w:rPr>
              <w:t>892,046</w:t>
            </w:r>
          </w:p>
        </w:tc>
        <w:tc>
          <w:tcPr>
            <w:tcW w:w="912" w:type="dxa"/>
          </w:tcPr>
          <w:p w14:paraId="168AD219" w14:textId="057CF361" w:rsidR="00792707" w:rsidRPr="00E377DB" w:rsidRDefault="00792707" w:rsidP="00601A0F">
            <w:pPr>
              <w:ind w:left="0"/>
              <w:rPr>
                <w:rFonts w:cstheme="minorHAnsi"/>
                <w:color w:val="000000"/>
                <w:sz w:val="24"/>
                <w:szCs w:val="24"/>
                <w:shd w:val="clear" w:color="auto" w:fill="FFFFFF"/>
              </w:rPr>
            </w:pPr>
            <w:r w:rsidRPr="00E377DB">
              <w:rPr>
                <w:rFonts w:cstheme="minorHAnsi"/>
                <w:color w:val="000000"/>
                <w:sz w:val="24"/>
                <w:szCs w:val="24"/>
                <w:shd w:val="clear" w:color="auto" w:fill="FFFFFF"/>
              </w:rPr>
              <w:fldChar w:fldCharType="begin"/>
            </w:r>
            <w:r w:rsidR="00785BD2">
              <w:rPr>
                <w:rFonts w:cstheme="minorHAnsi"/>
                <w:color w:val="000000"/>
                <w:sz w:val="24"/>
                <w:szCs w:val="24"/>
                <w:shd w:val="clear" w:color="auto" w:fill="FFFFFF"/>
              </w:rPr>
              <w:instrText xml:space="preserve"> ADDIN ZOTERO_ITEM CSL_CITATION {"citationID":"1sWKwkVk","properties":{"formattedCitation":"\\super 30\\nosupersub{}","plainCitation":"30","noteIndex":0},"citationItems":[{"id":7855,"uris":["http://zotero.org/users/3111854/items/TTEVGWP5"],"itemData":{"id":7855,"type":"webpage","abstract":"Facts and statistics about the Age structure of Kenya. Updated as of 2020.","language":"en","title":"Kenya Age structure - Demographics","URL":"https://www.indexmundi.com/kenya/age_structure.html","accessed":{"date-parts":[["2022",6,15]]}}}],"schema":"https://github.com/citation-style-language/schema/raw/master/csl-citation.json"} </w:instrText>
            </w:r>
            <w:r w:rsidRPr="00E377DB">
              <w:rPr>
                <w:rFonts w:cstheme="minorHAnsi"/>
                <w:color w:val="000000"/>
                <w:sz w:val="24"/>
                <w:szCs w:val="24"/>
                <w:shd w:val="clear" w:color="auto" w:fill="FFFFFF"/>
              </w:rPr>
              <w:fldChar w:fldCharType="separate"/>
            </w:r>
            <w:r w:rsidR="00785BD2" w:rsidRPr="00785BD2">
              <w:rPr>
                <w:rFonts w:ascii="Calibri" w:hAnsi="Calibri" w:cs="Calibri"/>
                <w:sz w:val="24"/>
                <w:szCs w:val="24"/>
                <w:vertAlign w:val="superscript"/>
              </w:rPr>
              <w:t>30</w:t>
            </w:r>
            <w:r w:rsidRPr="00E377DB">
              <w:rPr>
                <w:rFonts w:cstheme="minorHAnsi"/>
                <w:color w:val="000000"/>
                <w:sz w:val="24"/>
                <w:szCs w:val="24"/>
                <w:shd w:val="clear" w:color="auto" w:fill="FFFFFF"/>
              </w:rPr>
              <w:fldChar w:fldCharType="end"/>
            </w:r>
          </w:p>
        </w:tc>
      </w:tr>
    </w:tbl>
    <w:p w14:paraId="42944324" w14:textId="77777777" w:rsidR="00792707" w:rsidRPr="000E70CE" w:rsidRDefault="00792707" w:rsidP="00792707">
      <w:pPr>
        <w:spacing w:before="240" w:after="0"/>
        <w:ind w:left="0"/>
        <w:rPr>
          <w:i/>
          <w:iCs/>
          <w:sz w:val="24"/>
          <w:szCs w:val="24"/>
          <w:lang w:val="en-GB"/>
        </w:rPr>
      </w:pPr>
      <w:r w:rsidRPr="000E70CE">
        <w:rPr>
          <w:i/>
          <w:iCs/>
          <w:sz w:val="24"/>
          <w:szCs w:val="24"/>
          <w:lang w:val="en-GB"/>
        </w:rPr>
        <w:t>Data requirements for calculating years lived with disability (YLD)</w:t>
      </w:r>
    </w:p>
    <w:tbl>
      <w:tblPr>
        <w:tblStyle w:val="TableGrid"/>
        <w:tblW w:w="0" w:type="auto"/>
        <w:tblLook w:val="04A0" w:firstRow="1" w:lastRow="0" w:firstColumn="1" w:lastColumn="0" w:noHBand="0" w:noVBand="1"/>
      </w:tblPr>
      <w:tblGrid>
        <w:gridCol w:w="1545"/>
        <w:gridCol w:w="1726"/>
        <w:gridCol w:w="2010"/>
        <w:gridCol w:w="1676"/>
        <w:gridCol w:w="1143"/>
        <w:gridCol w:w="916"/>
      </w:tblGrid>
      <w:tr w:rsidR="00792707" w14:paraId="251662F9" w14:textId="77777777" w:rsidTr="00601A0F">
        <w:tc>
          <w:tcPr>
            <w:tcW w:w="1544" w:type="dxa"/>
          </w:tcPr>
          <w:p w14:paraId="4CE0A3EE" w14:textId="77777777" w:rsidR="00792707" w:rsidRPr="00792707" w:rsidRDefault="00792707" w:rsidP="00601A0F">
            <w:pPr>
              <w:ind w:left="0"/>
              <w:rPr>
                <w:b/>
                <w:bCs/>
                <w:sz w:val="24"/>
                <w:szCs w:val="24"/>
                <w:lang w:val="en-GB"/>
              </w:rPr>
            </w:pPr>
            <w:r w:rsidRPr="00792707">
              <w:rPr>
                <w:b/>
                <w:bCs/>
                <w:sz w:val="24"/>
                <w:szCs w:val="24"/>
                <w:lang w:val="en-GB"/>
              </w:rPr>
              <w:t>Type</w:t>
            </w:r>
          </w:p>
        </w:tc>
        <w:tc>
          <w:tcPr>
            <w:tcW w:w="1726" w:type="dxa"/>
          </w:tcPr>
          <w:p w14:paraId="60FDB1DB" w14:textId="77777777" w:rsidR="00792707" w:rsidRPr="00792707" w:rsidRDefault="00792707" w:rsidP="00601A0F">
            <w:pPr>
              <w:ind w:left="0"/>
              <w:rPr>
                <w:b/>
                <w:bCs/>
                <w:sz w:val="24"/>
                <w:szCs w:val="24"/>
                <w:lang w:val="en-GB"/>
              </w:rPr>
            </w:pPr>
            <w:r w:rsidRPr="00792707">
              <w:rPr>
                <w:b/>
                <w:bCs/>
                <w:sz w:val="24"/>
                <w:szCs w:val="24"/>
                <w:lang w:val="en-GB"/>
              </w:rPr>
              <w:t>Name</w:t>
            </w:r>
          </w:p>
        </w:tc>
        <w:tc>
          <w:tcPr>
            <w:tcW w:w="2024" w:type="dxa"/>
          </w:tcPr>
          <w:p w14:paraId="7F9D1AF0" w14:textId="77777777" w:rsidR="00792707" w:rsidRPr="00792707" w:rsidRDefault="00792707" w:rsidP="00601A0F">
            <w:pPr>
              <w:ind w:left="0"/>
              <w:rPr>
                <w:b/>
                <w:bCs/>
                <w:sz w:val="24"/>
                <w:szCs w:val="24"/>
                <w:lang w:val="en-GB"/>
              </w:rPr>
            </w:pPr>
            <w:r w:rsidRPr="00792707">
              <w:rPr>
                <w:b/>
                <w:bCs/>
                <w:sz w:val="24"/>
                <w:szCs w:val="24"/>
                <w:lang w:val="en-GB"/>
              </w:rPr>
              <w:t>Description</w:t>
            </w:r>
          </w:p>
        </w:tc>
        <w:tc>
          <w:tcPr>
            <w:tcW w:w="1692" w:type="dxa"/>
          </w:tcPr>
          <w:p w14:paraId="491F571B" w14:textId="77777777" w:rsidR="00792707" w:rsidRPr="00792707" w:rsidRDefault="00792707" w:rsidP="00601A0F">
            <w:pPr>
              <w:ind w:left="0"/>
              <w:rPr>
                <w:b/>
                <w:bCs/>
                <w:sz w:val="24"/>
                <w:szCs w:val="24"/>
                <w:lang w:val="en-GB"/>
              </w:rPr>
            </w:pPr>
            <w:r w:rsidRPr="00792707">
              <w:rPr>
                <w:b/>
                <w:bCs/>
                <w:sz w:val="24"/>
                <w:szCs w:val="24"/>
                <w:lang w:val="en-GB"/>
              </w:rPr>
              <w:t>Number of cases in 2020</w:t>
            </w:r>
          </w:p>
        </w:tc>
        <w:tc>
          <w:tcPr>
            <w:tcW w:w="1113" w:type="dxa"/>
          </w:tcPr>
          <w:p w14:paraId="525D92A1" w14:textId="77777777" w:rsidR="00792707" w:rsidRPr="00792707" w:rsidRDefault="00792707" w:rsidP="00601A0F">
            <w:pPr>
              <w:ind w:left="0"/>
              <w:rPr>
                <w:b/>
                <w:bCs/>
                <w:sz w:val="24"/>
                <w:szCs w:val="24"/>
                <w:lang w:val="en-GB"/>
              </w:rPr>
            </w:pPr>
            <w:r w:rsidRPr="00792707">
              <w:rPr>
                <w:b/>
                <w:bCs/>
                <w:sz w:val="24"/>
                <w:szCs w:val="24"/>
                <w:lang w:val="en-GB"/>
              </w:rPr>
              <w:t>Disability weight</w:t>
            </w:r>
          </w:p>
        </w:tc>
        <w:tc>
          <w:tcPr>
            <w:tcW w:w="917" w:type="dxa"/>
          </w:tcPr>
          <w:p w14:paraId="6ACF12F0" w14:textId="77777777" w:rsidR="00792707" w:rsidRPr="00792707" w:rsidRDefault="00792707" w:rsidP="00601A0F">
            <w:pPr>
              <w:ind w:left="0"/>
              <w:rPr>
                <w:b/>
                <w:bCs/>
                <w:sz w:val="24"/>
                <w:szCs w:val="24"/>
                <w:lang w:val="en-GB"/>
              </w:rPr>
            </w:pPr>
            <w:r w:rsidRPr="00792707">
              <w:rPr>
                <w:b/>
                <w:bCs/>
                <w:sz w:val="24"/>
                <w:szCs w:val="24"/>
                <w:lang w:val="en-GB"/>
              </w:rPr>
              <w:t>Source</w:t>
            </w:r>
          </w:p>
        </w:tc>
      </w:tr>
      <w:tr w:rsidR="00792707" w14:paraId="3F017F6F" w14:textId="77777777" w:rsidTr="00601A0F">
        <w:tc>
          <w:tcPr>
            <w:tcW w:w="1544" w:type="dxa"/>
            <w:vMerge w:val="restart"/>
          </w:tcPr>
          <w:p w14:paraId="66DF9F94" w14:textId="77777777" w:rsidR="00792707" w:rsidRDefault="00792707" w:rsidP="00601A0F">
            <w:pPr>
              <w:ind w:left="0"/>
              <w:rPr>
                <w:b/>
                <w:bCs/>
                <w:sz w:val="24"/>
                <w:szCs w:val="24"/>
                <w:lang w:val="en-GB"/>
              </w:rPr>
            </w:pPr>
            <w:r w:rsidRPr="009F4F3F">
              <w:rPr>
                <w:b/>
                <w:bCs/>
                <w:sz w:val="24"/>
                <w:szCs w:val="24"/>
                <w:lang w:val="en-GB"/>
              </w:rPr>
              <w:t>Acute COVID-19 infection</w:t>
            </w:r>
          </w:p>
          <w:p w14:paraId="2BF9E8A7" w14:textId="77777777" w:rsidR="00792707" w:rsidRPr="009F4F3F" w:rsidRDefault="00792707" w:rsidP="00601A0F">
            <w:pPr>
              <w:ind w:left="0"/>
              <w:rPr>
                <w:sz w:val="24"/>
                <w:szCs w:val="24"/>
                <w:lang w:val="en-GB"/>
              </w:rPr>
            </w:pPr>
            <w:r>
              <w:t>Signs and symptoms of COVID</w:t>
            </w:r>
            <w:r>
              <w:noBreakHyphen/>
              <w:t>19 for up to 4 weeks.</w:t>
            </w:r>
          </w:p>
          <w:p w14:paraId="2D5F1A1F" w14:textId="77777777" w:rsidR="00792707" w:rsidRPr="009F4F3F" w:rsidRDefault="00792707" w:rsidP="00601A0F">
            <w:pPr>
              <w:ind w:left="0"/>
              <w:rPr>
                <w:sz w:val="24"/>
                <w:szCs w:val="24"/>
                <w:lang w:val="en-GB"/>
              </w:rPr>
            </w:pPr>
          </w:p>
        </w:tc>
        <w:tc>
          <w:tcPr>
            <w:tcW w:w="1726" w:type="dxa"/>
          </w:tcPr>
          <w:p w14:paraId="3479EDBB" w14:textId="77777777" w:rsidR="00792707" w:rsidRDefault="00792707" w:rsidP="00601A0F">
            <w:pPr>
              <w:ind w:left="0"/>
              <w:rPr>
                <w:sz w:val="24"/>
                <w:szCs w:val="24"/>
                <w:lang w:val="en-GB"/>
              </w:rPr>
            </w:pPr>
            <w:r>
              <w:rPr>
                <w:sz w:val="24"/>
                <w:szCs w:val="24"/>
                <w:lang w:val="en-GB"/>
              </w:rPr>
              <w:t>Asymptomatic</w:t>
            </w:r>
          </w:p>
        </w:tc>
        <w:tc>
          <w:tcPr>
            <w:tcW w:w="2024" w:type="dxa"/>
          </w:tcPr>
          <w:p w14:paraId="44A1E9F0" w14:textId="77777777" w:rsidR="00792707" w:rsidRPr="006A09C3" w:rsidRDefault="00792707" w:rsidP="00601A0F">
            <w:pPr>
              <w:ind w:left="0"/>
              <w:rPr>
                <w:sz w:val="24"/>
                <w:szCs w:val="24"/>
                <w:lang w:val="en-GB"/>
              </w:rPr>
            </w:pPr>
            <w:r>
              <w:rPr>
                <w:lang w:val="en-GB"/>
              </w:rPr>
              <w:t>Has n</w:t>
            </w:r>
            <w:r>
              <w:t>o symptoms</w:t>
            </w:r>
            <w:r>
              <w:rPr>
                <w:lang w:val="en-GB"/>
              </w:rPr>
              <w:t xml:space="preserve"> up to 4 weeks</w:t>
            </w:r>
          </w:p>
        </w:tc>
        <w:tc>
          <w:tcPr>
            <w:tcW w:w="1692" w:type="dxa"/>
          </w:tcPr>
          <w:p w14:paraId="12986F36" w14:textId="77777777" w:rsidR="00792707" w:rsidRDefault="00792707" w:rsidP="00601A0F">
            <w:pPr>
              <w:ind w:left="0"/>
              <w:rPr>
                <w:sz w:val="24"/>
                <w:szCs w:val="24"/>
                <w:lang w:val="en-GB"/>
              </w:rPr>
            </w:pPr>
          </w:p>
        </w:tc>
        <w:tc>
          <w:tcPr>
            <w:tcW w:w="1113" w:type="dxa"/>
          </w:tcPr>
          <w:p w14:paraId="7CEF27FB" w14:textId="77777777" w:rsidR="00792707" w:rsidRDefault="00792707" w:rsidP="00601A0F">
            <w:pPr>
              <w:ind w:left="0"/>
              <w:rPr>
                <w:sz w:val="24"/>
                <w:szCs w:val="24"/>
                <w:lang w:val="en-GB"/>
              </w:rPr>
            </w:pPr>
          </w:p>
        </w:tc>
        <w:tc>
          <w:tcPr>
            <w:tcW w:w="917" w:type="dxa"/>
          </w:tcPr>
          <w:p w14:paraId="7DDDBF51" w14:textId="5AE5D719" w:rsidR="00792707" w:rsidRDefault="00792707" w:rsidP="00601A0F">
            <w:pPr>
              <w:ind w:left="0"/>
              <w:rPr>
                <w:sz w:val="24"/>
                <w:szCs w:val="24"/>
                <w:lang w:val="en-GB"/>
              </w:rPr>
            </w:pPr>
            <w:r>
              <w:rPr>
                <w:sz w:val="24"/>
                <w:szCs w:val="24"/>
                <w:lang w:val="en-GB"/>
              </w:rPr>
              <w:fldChar w:fldCharType="begin"/>
            </w:r>
            <w:r>
              <w:rPr>
                <w:sz w:val="24"/>
                <w:szCs w:val="24"/>
                <w:lang w:val="en-GB"/>
              </w:rPr>
              <w:instrText xml:space="preserve"> ADDIN ZOTERO_ITEM CSL_CITATION {"citationID":"HRj8Dq4I","properties":{"formattedCitation":"\\super 20\\nosupersub{}","plainCitation":"20","noteIndex":0},"citationItems":[{"id":7858,"uris":["http://zotero.org/users/3111854/items/FAH2U2GM"],"itemData":{"id":7858,"type":"report","language":"en","page":"64","source":"Zotero","title":"GUIDELINES ON MANAGEMENT OF COVID-19 IN KENYA","issued":{"date-parts":[["2021"]]}}}],"schema":"https://github.com/citation-style-language/schema/raw/master/csl-citation.json"} </w:instrText>
            </w:r>
            <w:r>
              <w:rPr>
                <w:sz w:val="24"/>
                <w:szCs w:val="24"/>
                <w:lang w:val="en-GB"/>
              </w:rPr>
              <w:fldChar w:fldCharType="separate"/>
            </w:r>
            <w:r w:rsidRPr="00792707">
              <w:rPr>
                <w:rFonts w:ascii="Calibri" w:hAnsi="Calibri" w:cs="Calibri"/>
                <w:sz w:val="24"/>
                <w:szCs w:val="24"/>
                <w:vertAlign w:val="superscript"/>
              </w:rPr>
              <w:t>20</w:t>
            </w:r>
            <w:r>
              <w:rPr>
                <w:sz w:val="24"/>
                <w:szCs w:val="24"/>
                <w:lang w:val="en-GB"/>
              </w:rPr>
              <w:fldChar w:fldCharType="end"/>
            </w:r>
          </w:p>
        </w:tc>
      </w:tr>
      <w:tr w:rsidR="00792707" w14:paraId="1DB9F178" w14:textId="77777777" w:rsidTr="00601A0F">
        <w:tc>
          <w:tcPr>
            <w:tcW w:w="1544" w:type="dxa"/>
            <w:vMerge/>
          </w:tcPr>
          <w:p w14:paraId="3782ACA7" w14:textId="77777777" w:rsidR="00792707" w:rsidRDefault="00792707" w:rsidP="00601A0F">
            <w:pPr>
              <w:ind w:left="0"/>
              <w:rPr>
                <w:sz w:val="24"/>
                <w:szCs w:val="24"/>
                <w:lang w:val="en-GB"/>
              </w:rPr>
            </w:pPr>
          </w:p>
        </w:tc>
        <w:tc>
          <w:tcPr>
            <w:tcW w:w="1726" w:type="dxa"/>
          </w:tcPr>
          <w:p w14:paraId="2B2648A7" w14:textId="77777777" w:rsidR="00792707" w:rsidRDefault="00792707" w:rsidP="00601A0F">
            <w:pPr>
              <w:ind w:left="0"/>
              <w:rPr>
                <w:sz w:val="24"/>
                <w:szCs w:val="24"/>
                <w:lang w:val="en-GB"/>
              </w:rPr>
            </w:pPr>
            <w:r>
              <w:rPr>
                <w:sz w:val="24"/>
                <w:szCs w:val="24"/>
                <w:lang w:val="en-GB"/>
              </w:rPr>
              <w:t>Mild/Moderate</w:t>
            </w:r>
          </w:p>
        </w:tc>
        <w:tc>
          <w:tcPr>
            <w:tcW w:w="2024" w:type="dxa"/>
          </w:tcPr>
          <w:p w14:paraId="76BDFB2B" w14:textId="77777777" w:rsidR="00792707" w:rsidRDefault="00792707" w:rsidP="00601A0F">
            <w:pPr>
              <w:ind w:left="0"/>
              <w:rPr>
                <w:lang w:val="en-GB"/>
              </w:rPr>
            </w:pPr>
            <w:r w:rsidRPr="0061044A">
              <w:rPr>
                <w:i/>
                <w:iCs/>
                <w:lang w:val="en-GB"/>
              </w:rPr>
              <w:t>Mild</w:t>
            </w:r>
            <w:r>
              <w:rPr>
                <w:lang w:val="en-GB"/>
              </w:rPr>
              <w:t xml:space="preserve">: </w:t>
            </w:r>
            <w:r>
              <w:t>Fever, cough, sore throat, malaise, headache, muscle pain BUT No dyspnoea (shortness of breath) and No abnormalities on chest imaging</w:t>
            </w:r>
            <w:r>
              <w:rPr>
                <w:lang w:val="en-GB"/>
              </w:rPr>
              <w:t>/</w:t>
            </w:r>
          </w:p>
          <w:p w14:paraId="71598BEA" w14:textId="77777777" w:rsidR="00792707" w:rsidRPr="0061044A" w:rsidRDefault="00792707" w:rsidP="00601A0F">
            <w:pPr>
              <w:ind w:left="0"/>
              <w:rPr>
                <w:lang w:val="en-GB"/>
              </w:rPr>
            </w:pPr>
            <w:r w:rsidRPr="0061044A">
              <w:rPr>
                <w:i/>
                <w:iCs/>
                <w:lang w:val="en-GB"/>
              </w:rPr>
              <w:t>Moderate</w:t>
            </w:r>
            <w:r>
              <w:rPr>
                <w:lang w:val="en-GB"/>
              </w:rPr>
              <w:t>:</w:t>
            </w:r>
          </w:p>
          <w:p w14:paraId="13599469" w14:textId="77777777" w:rsidR="00792707" w:rsidRPr="00F05A12" w:rsidRDefault="00792707" w:rsidP="00601A0F">
            <w:pPr>
              <w:ind w:left="0"/>
              <w:rPr>
                <w:sz w:val="24"/>
                <w:szCs w:val="24"/>
                <w:lang w:val="en-GB"/>
              </w:rPr>
            </w:pPr>
            <w:r>
              <w:t>Clinical features of pneumonia (fever, cough, dyspnoea) AND/OR radiological features of pneumonia BUT Oxygen saturations (SPO2) greater than or equal to 94% on room air</w:t>
            </w:r>
          </w:p>
        </w:tc>
        <w:tc>
          <w:tcPr>
            <w:tcW w:w="1692" w:type="dxa"/>
          </w:tcPr>
          <w:p w14:paraId="6E9F321F" w14:textId="77777777" w:rsidR="00792707" w:rsidRDefault="00792707" w:rsidP="00601A0F">
            <w:pPr>
              <w:ind w:left="0"/>
              <w:rPr>
                <w:sz w:val="24"/>
                <w:szCs w:val="24"/>
                <w:lang w:val="en-GB"/>
              </w:rPr>
            </w:pPr>
          </w:p>
        </w:tc>
        <w:tc>
          <w:tcPr>
            <w:tcW w:w="1113" w:type="dxa"/>
          </w:tcPr>
          <w:p w14:paraId="6C52AF05" w14:textId="77777777" w:rsidR="00792707" w:rsidRDefault="00792707" w:rsidP="00601A0F">
            <w:pPr>
              <w:ind w:left="0"/>
              <w:rPr>
                <w:sz w:val="24"/>
                <w:szCs w:val="24"/>
                <w:lang w:val="en-GB"/>
              </w:rPr>
            </w:pPr>
          </w:p>
        </w:tc>
        <w:tc>
          <w:tcPr>
            <w:tcW w:w="917" w:type="dxa"/>
          </w:tcPr>
          <w:p w14:paraId="3B11320D" w14:textId="5DC7D9A9" w:rsidR="00792707" w:rsidRDefault="00792707" w:rsidP="00601A0F">
            <w:pPr>
              <w:ind w:left="0"/>
              <w:rPr>
                <w:sz w:val="24"/>
                <w:szCs w:val="24"/>
                <w:lang w:val="en-GB"/>
              </w:rPr>
            </w:pPr>
            <w:r>
              <w:rPr>
                <w:sz w:val="24"/>
                <w:szCs w:val="24"/>
                <w:lang w:val="en-GB"/>
              </w:rPr>
              <w:fldChar w:fldCharType="begin"/>
            </w:r>
            <w:r>
              <w:rPr>
                <w:sz w:val="24"/>
                <w:szCs w:val="24"/>
                <w:lang w:val="en-GB"/>
              </w:rPr>
              <w:instrText xml:space="preserve"> ADDIN ZOTERO_ITEM CSL_CITATION {"citationID":"TAS3spLX","properties":{"formattedCitation":"\\super 20\\nosupersub{}","plainCitation":"20","noteIndex":0},"citationItems":[{"id":7858,"uris":["http://zotero.org/users/3111854/items/FAH2U2GM"],"itemData":{"id":7858,"type":"report","language":"en","page":"64","source":"Zotero","title":"GUIDELINES ON MANAGEMENT OF COVID-19 IN KENYA","issued":{"date-parts":[["2021"]]}}}],"schema":"https://github.com/citation-style-language/schema/raw/master/csl-citation.json"} </w:instrText>
            </w:r>
            <w:r>
              <w:rPr>
                <w:sz w:val="24"/>
                <w:szCs w:val="24"/>
                <w:lang w:val="en-GB"/>
              </w:rPr>
              <w:fldChar w:fldCharType="separate"/>
            </w:r>
            <w:r w:rsidRPr="00792707">
              <w:rPr>
                <w:rFonts w:ascii="Calibri" w:hAnsi="Calibri" w:cs="Calibri"/>
                <w:sz w:val="24"/>
                <w:szCs w:val="24"/>
                <w:vertAlign w:val="superscript"/>
              </w:rPr>
              <w:t>20</w:t>
            </w:r>
            <w:r>
              <w:rPr>
                <w:sz w:val="24"/>
                <w:szCs w:val="24"/>
                <w:lang w:val="en-GB"/>
              </w:rPr>
              <w:fldChar w:fldCharType="end"/>
            </w:r>
          </w:p>
        </w:tc>
      </w:tr>
      <w:tr w:rsidR="00792707" w14:paraId="110627AD" w14:textId="77777777" w:rsidTr="00601A0F">
        <w:tc>
          <w:tcPr>
            <w:tcW w:w="1544" w:type="dxa"/>
            <w:vMerge/>
          </w:tcPr>
          <w:p w14:paraId="01714CC8" w14:textId="77777777" w:rsidR="00792707" w:rsidRDefault="00792707" w:rsidP="00601A0F">
            <w:pPr>
              <w:ind w:left="0"/>
              <w:rPr>
                <w:sz w:val="24"/>
                <w:szCs w:val="24"/>
                <w:lang w:val="en-GB"/>
              </w:rPr>
            </w:pPr>
          </w:p>
        </w:tc>
        <w:tc>
          <w:tcPr>
            <w:tcW w:w="1726" w:type="dxa"/>
          </w:tcPr>
          <w:p w14:paraId="729B535E" w14:textId="77777777" w:rsidR="00792707" w:rsidRDefault="00792707" w:rsidP="00601A0F">
            <w:pPr>
              <w:ind w:left="0"/>
              <w:rPr>
                <w:sz w:val="24"/>
                <w:szCs w:val="24"/>
                <w:lang w:val="en-GB"/>
              </w:rPr>
            </w:pPr>
            <w:r>
              <w:rPr>
                <w:sz w:val="24"/>
                <w:szCs w:val="24"/>
                <w:lang w:val="en-GB"/>
              </w:rPr>
              <w:t>Severe</w:t>
            </w:r>
          </w:p>
        </w:tc>
        <w:tc>
          <w:tcPr>
            <w:tcW w:w="2024" w:type="dxa"/>
          </w:tcPr>
          <w:p w14:paraId="4BDA3EA0" w14:textId="77777777" w:rsidR="00792707" w:rsidRDefault="00792707" w:rsidP="00601A0F">
            <w:pPr>
              <w:ind w:left="0"/>
              <w:rPr>
                <w:sz w:val="24"/>
                <w:szCs w:val="24"/>
                <w:lang w:val="en-GB"/>
              </w:rPr>
            </w:pPr>
            <w:r>
              <w:t>Clinical and radiological features of pneumonia, tachypnea with RR&gt;30 AND oxygen saturation (SPO2) less than 94% on room air</w:t>
            </w:r>
          </w:p>
        </w:tc>
        <w:tc>
          <w:tcPr>
            <w:tcW w:w="1692" w:type="dxa"/>
          </w:tcPr>
          <w:p w14:paraId="0EA160B6" w14:textId="77777777" w:rsidR="00792707" w:rsidRDefault="00792707" w:rsidP="00601A0F">
            <w:pPr>
              <w:ind w:left="0"/>
              <w:rPr>
                <w:sz w:val="24"/>
                <w:szCs w:val="24"/>
                <w:lang w:val="en-GB"/>
              </w:rPr>
            </w:pPr>
          </w:p>
        </w:tc>
        <w:tc>
          <w:tcPr>
            <w:tcW w:w="1113" w:type="dxa"/>
          </w:tcPr>
          <w:p w14:paraId="6007DEC3" w14:textId="77777777" w:rsidR="00792707" w:rsidRDefault="00792707" w:rsidP="00601A0F">
            <w:pPr>
              <w:ind w:left="0"/>
              <w:rPr>
                <w:sz w:val="24"/>
                <w:szCs w:val="24"/>
                <w:lang w:val="en-GB"/>
              </w:rPr>
            </w:pPr>
          </w:p>
        </w:tc>
        <w:tc>
          <w:tcPr>
            <w:tcW w:w="917" w:type="dxa"/>
          </w:tcPr>
          <w:p w14:paraId="28F9C4F8" w14:textId="0748A0FA" w:rsidR="00792707" w:rsidRDefault="00792707" w:rsidP="00601A0F">
            <w:pPr>
              <w:ind w:left="0"/>
              <w:rPr>
                <w:sz w:val="24"/>
                <w:szCs w:val="24"/>
                <w:lang w:val="en-GB"/>
              </w:rPr>
            </w:pPr>
            <w:r>
              <w:rPr>
                <w:sz w:val="24"/>
                <w:szCs w:val="24"/>
                <w:lang w:val="en-GB"/>
              </w:rPr>
              <w:fldChar w:fldCharType="begin"/>
            </w:r>
            <w:r>
              <w:rPr>
                <w:sz w:val="24"/>
                <w:szCs w:val="24"/>
                <w:lang w:val="en-GB"/>
              </w:rPr>
              <w:instrText xml:space="preserve"> ADDIN ZOTERO_ITEM CSL_CITATION {"citationID":"phwoJXVY","properties":{"formattedCitation":"\\super 20\\nosupersub{}","plainCitation":"20","noteIndex":0},"citationItems":[{"id":7858,"uris":["http://zotero.org/users/3111854/items/FAH2U2GM"],"itemData":{"id":7858,"type":"report","language":"en","page":"64","source":"Zotero","title":"GUIDELINES ON MANAGEMENT OF COVID-19 IN KENYA","issued":{"date-parts":[["2021"]]}}}],"schema":"https://github.com/citation-style-language/schema/raw/master/csl-citation.json"} </w:instrText>
            </w:r>
            <w:r>
              <w:rPr>
                <w:sz w:val="24"/>
                <w:szCs w:val="24"/>
                <w:lang w:val="en-GB"/>
              </w:rPr>
              <w:fldChar w:fldCharType="separate"/>
            </w:r>
            <w:r w:rsidRPr="00792707">
              <w:rPr>
                <w:rFonts w:ascii="Calibri" w:hAnsi="Calibri" w:cs="Calibri"/>
                <w:sz w:val="24"/>
                <w:szCs w:val="24"/>
                <w:vertAlign w:val="superscript"/>
              </w:rPr>
              <w:t>20</w:t>
            </w:r>
            <w:r>
              <w:rPr>
                <w:sz w:val="24"/>
                <w:szCs w:val="24"/>
                <w:lang w:val="en-GB"/>
              </w:rPr>
              <w:fldChar w:fldCharType="end"/>
            </w:r>
          </w:p>
        </w:tc>
      </w:tr>
      <w:tr w:rsidR="00792707" w14:paraId="6E66880B" w14:textId="77777777" w:rsidTr="00601A0F">
        <w:tc>
          <w:tcPr>
            <w:tcW w:w="1544" w:type="dxa"/>
            <w:vMerge/>
          </w:tcPr>
          <w:p w14:paraId="342CD990" w14:textId="77777777" w:rsidR="00792707" w:rsidRDefault="00792707" w:rsidP="00601A0F">
            <w:pPr>
              <w:ind w:left="0"/>
              <w:rPr>
                <w:sz w:val="24"/>
                <w:szCs w:val="24"/>
                <w:lang w:val="en-GB"/>
              </w:rPr>
            </w:pPr>
          </w:p>
        </w:tc>
        <w:tc>
          <w:tcPr>
            <w:tcW w:w="1726" w:type="dxa"/>
          </w:tcPr>
          <w:p w14:paraId="37A32841" w14:textId="77777777" w:rsidR="00792707" w:rsidRDefault="00792707" w:rsidP="00601A0F">
            <w:pPr>
              <w:ind w:left="0"/>
              <w:rPr>
                <w:sz w:val="24"/>
                <w:szCs w:val="24"/>
                <w:lang w:val="en-GB"/>
              </w:rPr>
            </w:pPr>
            <w:r>
              <w:rPr>
                <w:sz w:val="24"/>
                <w:szCs w:val="24"/>
                <w:lang w:val="en-GB"/>
              </w:rPr>
              <w:t>Critical illness</w:t>
            </w:r>
          </w:p>
        </w:tc>
        <w:tc>
          <w:tcPr>
            <w:tcW w:w="2024" w:type="dxa"/>
          </w:tcPr>
          <w:p w14:paraId="094C0F45" w14:textId="77777777" w:rsidR="00792707" w:rsidRDefault="00792707" w:rsidP="00601A0F">
            <w:pPr>
              <w:ind w:left="0"/>
            </w:pPr>
            <w:r>
              <w:t xml:space="preserve">Features of severe illness AND Any of the following: </w:t>
            </w:r>
          </w:p>
          <w:p w14:paraId="45F292BF" w14:textId="77777777" w:rsidR="00792707" w:rsidRDefault="00792707" w:rsidP="00601A0F">
            <w:pPr>
              <w:ind w:left="0"/>
            </w:pPr>
            <w:r>
              <w:t xml:space="preserve">• respiratory failure </w:t>
            </w:r>
          </w:p>
          <w:p w14:paraId="05F48A93" w14:textId="77777777" w:rsidR="00792707" w:rsidRDefault="00792707" w:rsidP="00601A0F">
            <w:pPr>
              <w:ind w:left="0"/>
            </w:pPr>
            <w:r>
              <w:t xml:space="preserve">• sepsis/septic shock </w:t>
            </w:r>
          </w:p>
          <w:p w14:paraId="1174CD12" w14:textId="77777777" w:rsidR="00792707" w:rsidRDefault="00792707" w:rsidP="00601A0F">
            <w:pPr>
              <w:ind w:left="0"/>
            </w:pPr>
            <w:r>
              <w:t xml:space="preserve">• multiorgan dysfunction </w:t>
            </w:r>
          </w:p>
          <w:p w14:paraId="48EBF0B3" w14:textId="77777777" w:rsidR="00792707" w:rsidRPr="0061044A" w:rsidRDefault="00792707" w:rsidP="00601A0F">
            <w:pPr>
              <w:ind w:left="0"/>
              <w:rPr>
                <w:sz w:val="24"/>
                <w:szCs w:val="24"/>
                <w:lang w:val="en-GB"/>
              </w:rPr>
            </w:pPr>
            <w:r>
              <w:t>• acute thrombosis</w:t>
            </w:r>
          </w:p>
        </w:tc>
        <w:tc>
          <w:tcPr>
            <w:tcW w:w="1692" w:type="dxa"/>
          </w:tcPr>
          <w:p w14:paraId="1E7DCF9B" w14:textId="77777777" w:rsidR="00792707" w:rsidRDefault="00792707" w:rsidP="00601A0F">
            <w:pPr>
              <w:ind w:left="0"/>
              <w:rPr>
                <w:sz w:val="24"/>
                <w:szCs w:val="24"/>
                <w:lang w:val="en-GB"/>
              </w:rPr>
            </w:pPr>
          </w:p>
        </w:tc>
        <w:tc>
          <w:tcPr>
            <w:tcW w:w="1113" w:type="dxa"/>
          </w:tcPr>
          <w:p w14:paraId="5B923936" w14:textId="77777777" w:rsidR="00792707" w:rsidRDefault="00792707" w:rsidP="00601A0F">
            <w:pPr>
              <w:ind w:left="0"/>
              <w:rPr>
                <w:sz w:val="24"/>
                <w:szCs w:val="24"/>
                <w:lang w:val="en-GB"/>
              </w:rPr>
            </w:pPr>
          </w:p>
        </w:tc>
        <w:tc>
          <w:tcPr>
            <w:tcW w:w="917" w:type="dxa"/>
          </w:tcPr>
          <w:p w14:paraId="13A9A689" w14:textId="01929703" w:rsidR="00792707" w:rsidRDefault="00792707" w:rsidP="00601A0F">
            <w:pPr>
              <w:ind w:left="0"/>
              <w:rPr>
                <w:sz w:val="24"/>
                <w:szCs w:val="24"/>
                <w:lang w:val="en-GB"/>
              </w:rPr>
            </w:pPr>
            <w:r>
              <w:rPr>
                <w:sz w:val="24"/>
                <w:szCs w:val="24"/>
                <w:lang w:val="en-GB"/>
              </w:rPr>
              <w:fldChar w:fldCharType="begin"/>
            </w:r>
            <w:r>
              <w:rPr>
                <w:sz w:val="24"/>
                <w:szCs w:val="24"/>
                <w:lang w:val="en-GB"/>
              </w:rPr>
              <w:instrText xml:space="preserve"> ADDIN ZOTERO_ITEM CSL_CITATION {"citationID":"z9LF6dpv","properties":{"formattedCitation":"\\super 20\\nosupersub{}","plainCitation":"20","noteIndex":0},"citationItems":[{"id":7858,"uris":["http://zotero.org/users/3111854/items/FAH2U2GM"],"itemData":{"id":7858,"type":"report","language":"en","page":"64","source":"Zotero","title":"GUIDELINES ON MANAGEMENT OF COVID-19 IN KENYA","issued":{"date-parts":[["2021"]]}}}],"schema":"https://github.com/citation-style-language/schema/raw/master/csl-citation.json"} </w:instrText>
            </w:r>
            <w:r>
              <w:rPr>
                <w:sz w:val="24"/>
                <w:szCs w:val="24"/>
                <w:lang w:val="en-GB"/>
              </w:rPr>
              <w:fldChar w:fldCharType="separate"/>
            </w:r>
            <w:r w:rsidRPr="00792707">
              <w:rPr>
                <w:rFonts w:ascii="Calibri" w:hAnsi="Calibri" w:cs="Calibri"/>
                <w:sz w:val="24"/>
                <w:szCs w:val="24"/>
                <w:vertAlign w:val="superscript"/>
              </w:rPr>
              <w:t>20</w:t>
            </w:r>
            <w:r>
              <w:rPr>
                <w:sz w:val="24"/>
                <w:szCs w:val="24"/>
                <w:lang w:val="en-GB"/>
              </w:rPr>
              <w:fldChar w:fldCharType="end"/>
            </w:r>
          </w:p>
        </w:tc>
      </w:tr>
      <w:tr w:rsidR="00792707" w14:paraId="1B392915" w14:textId="77777777" w:rsidTr="00601A0F">
        <w:tc>
          <w:tcPr>
            <w:tcW w:w="1544" w:type="dxa"/>
          </w:tcPr>
          <w:p w14:paraId="6E7E09A0" w14:textId="77777777" w:rsidR="00792707" w:rsidRPr="009F4F3F" w:rsidRDefault="00792707" w:rsidP="00601A0F">
            <w:pPr>
              <w:ind w:left="0"/>
              <w:rPr>
                <w:b/>
                <w:bCs/>
                <w:sz w:val="24"/>
                <w:szCs w:val="24"/>
                <w:lang w:val="en-GB"/>
              </w:rPr>
            </w:pPr>
          </w:p>
        </w:tc>
        <w:tc>
          <w:tcPr>
            <w:tcW w:w="1726" w:type="dxa"/>
          </w:tcPr>
          <w:p w14:paraId="7444343C" w14:textId="77777777" w:rsidR="00792707" w:rsidRDefault="00792707" w:rsidP="00601A0F">
            <w:pPr>
              <w:ind w:left="0"/>
              <w:rPr>
                <w:sz w:val="24"/>
                <w:szCs w:val="24"/>
                <w:lang w:val="en-GB"/>
              </w:rPr>
            </w:pPr>
            <w:r>
              <w:rPr>
                <w:b/>
                <w:bCs/>
                <w:sz w:val="24"/>
                <w:szCs w:val="24"/>
                <w:lang w:val="en-GB"/>
              </w:rPr>
              <w:t>Recovery</w:t>
            </w:r>
          </w:p>
        </w:tc>
        <w:tc>
          <w:tcPr>
            <w:tcW w:w="2024" w:type="dxa"/>
          </w:tcPr>
          <w:p w14:paraId="7794DE66" w14:textId="77777777" w:rsidR="00792707" w:rsidRPr="009F4F3F" w:rsidRDefault="00792707" w:rsidP="00601A0F">
            <w:pPr>
              <w:ind w:left="0"/>
              <w:rPr>
                <w:lang w:val="en-GB"/>
              </w:rPr>
            </w:pPr>
          </w:p>
        </w:tc>
        <w:tc>
          <w:tcPr>
            <w:tcW w:w="1692" w:type="dxa"/>
          </w:tcPr>
          <w:p w14:paraId="2524F1F5" w14:textId="77777777" w:rsidR="00792707" w:rsidRDefault="00792707" w:rsidP="00601A0F">
            <w:pPr>
              <w:ind w:left="0"/>
              <w:rPr>
                <w:sz w:val="24"/>
                <w:szCs w:val="24"/>
                <w:lang w:val="en-GB"/>
              </w:rPr>
            </w:pPr>
          </w:p>
        </w:tc>
        <w:tc>
          <w:tcPr>
            <w:tcW w:w="1113" w:type="dxa"/>
          </w:tcPr>
          <w:p w14:paraId="15630412" w14:textId="77777777" w:rsidR="00792707" w:rsidRDefault="00792707" w:rsidP="00601A0F">
            <w:pPr>
              <w:ind w:left="0"/>
              <w:rPr>
                <w:sz w:val="24"/>
                <w:szCs w:val="24"/>
                <w:lang w:val="en-GB"/>
              </w:rPr>
            </w:pPr>
          </w:p>
        </w:tc>
        <w:tc>
          <w:tcPr>
            <w:tcW w:w="917" w:type="dxa"/>
          </w:tcPr>
          <w:p w14:paraId="129FE5A2" w14:textId="77777777" w:rsidR="00792707" w:rsidRDefault="00792707" w:rsidP="00601A0F">
            <w:pPr>
              <w:ind w:left="0"/>
              <w:rPr>
                <w:sz w:val="24"/>
                <w:szCs w:val="24"/>
                <w:lang w:val="en-GB"/>
              </w:rPr>
            </w:pPr>
          </w:p>
        </w:tc>
      </w:tr>
      <w:tr w:rsidR="00792707" w14:paraId="0A17697E" w14:textId="77777777" w:rsidTr="00601A0F">
        <w:tc>
          <w:tcPr>
            <w:tcW w:w="1544" w:type="dxa"/>
          </w:tcPr>
          <w:p w14:paraId="7AE9CB10" w14:textId="77777777" w:rsidR="00792707" w:rsidRPr="009F4F3F" w:rsidRDefault="00792707" w:rsidP="00601A0F">
            <w:pPr>
              <w:ind w:left="0"/>
              <w:rPr>
                <w:b/>
                <w:bCs/>
                <w:sz w:val="24"/>
                <w:szCs w:val="24"/>
                <w:lang w:val="en-GB"/>
              </w:rPr>
            </w:pPr>
            <w:r w:rsidRPr="009F4F3F">
              <w:rPr>
                <w:b/>
                <w:bCs/>
                <w:sz w:val="24"/>
                <w:szCs w:val="24"/>
                <w:lang w:val="en-GB"/>
              </w:rPr>
              <w:t>Long COVID</w:t>
            </w:r>
          </w:p>
          <w:p w14:paraId="76202D1B" w14:textId="77777777" w:rsidR="00792707" w:rsidRDefault="00792707" w:rsidP="00601A0F">
            <w:pPr>
              <w:ind w:left="0"/>
            </w:pPr>
            <w:r>
              <w:rPr>
                <w:lang w:val="en-GB"/>
              </w:rPr>
              <w:t>Signs</w:t>
            </w:r>
            <w:r>
              <w:t xml:space="preserve"> and symptoms that continue or develop after acute COVID</w:t>
            </w:r>
            <w:r>
              <w:noBreakHyphen/>
              <w:t>19. It includes both ongoing symptomatic COVID</w:t>
            </w:r>
            <w:r>
              <w:noBreakHyphen/>
              <w:t>19 (from 4 to 12 weeks) and post</w:t>
            </w:r>
            <w:r>
              <w:noBreakHyphen/>
              <w:t>COVID</w:t>
            </w:r>
            <w:r>
              <w:noBreakHyphen/>
              <w:t>19 syndrome (12 weeks or more).</w:t>
            </w:r>
          </w:p>
          <w:p w14:paraId="4B6F4E3B" w14:textId="77777777" w:rsidR="00792707" w:rsidRPr="006A09C3" w:rsidRDefault="00792707" w:rsidP="00601A0F">
            <w:pPr>
              <w:ind w:left="0"/>
              <w:rPr>
                <w:sz w:val="24"/>
                <w:szCs w:val="24"/>
              </w:rPr>
            </w:pPr>
          </w:p>
        </w:tc>
        <w:tc>
          <w:tcPr>
            <w:tcW w:w="1726" w:type="dxa"/>
          </w:tcPr>
          <w:p w14:paraId="08191D28" w14:textId="77777777" w:rsidR="00792707" w:rsidRDefault="00792707" w:rsidP="00601A0F">
            <w:pPr>
              <w:ind w:left="0"/>
              <w:rPr>
                <w:sz w:val="24"/>
                <w:szCs w:val="24"/>
                <w:lang w:val="en-GB"/>
              </w:rPr>
            </w:pPr>
            <w:r>
              <w:rPr>
                <w:sz w:val="24"/>
                <w:szCs w:val="24"/>
                <w:lang w:val="en-GB"/>
              </w:rPr>
              <w:t>Mild</w:t>
            </w:r>
          </w:p>
        </w:tc>
        <w:tc>
          <w:tcPr>
            <w:tcW w:w="2024" w:type="dxa"/>
          </w:tcPr>
          <w:p w14:paraId="46803457" w14:textId="77777777" w:rsidR="00792707" w:rsidRPr="009F4F3F" w:rsidRDefault="00792707" w:rsidP="00601A0F">
            <w:pPr>
              <w:ind w:left="0"/>
              <w:rPr>
                <w:lang w:val="en-GB"/>
              </w:rPr>
            </w:pPr>
            <w:r w:rsidRPr="009F4F3F">
              <w:rPr>
                <w:lang w:val="en-GB"/>
              </w:rPr>
              <w:t>Some difficulty daily activities</w:t>
            </w:r>
          </w:p>
        </w:tc>
        <w:tc>
          <w:tcPr>
            <w:tcW w:w="1692" w:type="dxa"/>
          </w:tcPr>
          <w:p w14:paraId="3F64B8E9" w14:textId="77777777" w:rsidR="00792707" w:rsidRDefault="00792707" w:rsidP="00601A0F">
            <w:pPr>
              <w:ind w:left="0"/>
              <w:rPr>
                <w:sz w:val="24"/>
                <w:szCs w:val="24"/>
                <w:lang w:val="en-GB"/>
              </w:rPr>
            </w:pPr>
          </w:p>
        </w:tc>
        <w:tc>
          <w:tcPr>
            <w:tcW w:w="1113" w:type="dxa"/>
          </w:tcPr>
          <w:p w14:paraId="16168B2E" w14:textId="77777777" w:rsidR="00792707" w:rsidRDefault="00792707" w:rsidP="00601A0F">
            <w:pPr>
              <w:ind w:left="0"/>
              <w:rPr>
                <w:sz w:val="24"/>
                <w:szCs w:val="24"/>
                <w:lang w:val="en-GB"/>
              </w:rPr>
            </w:pPr>
          </w:p>
        </w:tc>
        <w:tc>
          <w:tcPr>
            <w:tcW w:w="917" w:type="dxa"/>
          </w:tcPr>
          <w:p w14:paraId="79E61097" w14:textId="69B42E05" w:rsidR="00792707" w:rsidRDefault="00792707" w:rsidP="00601A0F">
            <w:pPr>
              <w:ind w:left="0"/>
              <w:rPr>
                <w:sz w:val="24"/>
                <w:szCs w:val="24"/>
                <w:lang w:val="en-GB"/>
              </w:rPr>
            </w:pPr>
            <w:r>
              <w:rPr>
                <w:sz w:val="24"/>
                <w:szCs w:val="24"/>
                <w:lang w:val="en-GB"/>
              </w:rPr>
              <w:fldChar w:fldCharType="begin"/>
            </w:r>
            <w:r>
              <w:rPr>
                <w:sz w:val="24"/>
                <w:szCs w:val="24"/>
                <w:lang w:val="en-GB"/>
              </w:rPr>
              <w:instrText xml:space="preserve"> ADDIN ZOTERO_ITEM CSL_CITATION {"citationID":"FDrO4Dnu","properties":{"formattedCitation":"\\super 19\\nosupersub{}","plainCitation":"19","noteIndex":0},"citationItems":[{"id":7863,"uris":["http://zotero.org/users/3111854/items/VDAWMRB6"],"itemData":{"id":7863,"type":"report","title":"COVID-19 rapid guideline: managing the long-term effects of COVID-19","URL":"https://www.nice.org.uk/guidance/ng188/resources/covid19-rapid-guideline-managing-the-longterm-effects-of-covid19-pdf-51035515742","author":[{"family":"NICE","given":""}],"accessed":{"date-parts":[["2022",6,15]]},"issued":{"date-parts":[["2022",1,3]]}},"locator":"-19"}],"schema":"https://github.com/citation-style-language/schema/raw/master/csl-citation.json"} </w:instrText>
            </w:r>
            <w:r>
              <w:rPr>
                <w:sz w:val="24"/>
                <w:szCs w:val="24"/>
                <w:lang w:val="en-GB"/>
              </w:rPr>
              <w:fldChar w:fldCharType="separate"/>
            </w:r>
            <w:r w:rsidRPr="00792707">
              <w:rPr>
                <w:rFonts w:ascii="Calibri" w:hAnsi="Calibri" w:cs="Calibri"/>
                <w:sz w:val="24"/>
                <w:szCs w:val="24"/>
                <w:vertAlign w:val="superscript"/>
              </w:rPr>
              <w:t>19</w:t>
            </w:r>
            <w:r>
              <w:rPr>
                <w:sz w:val="24"/>
                <w:szCs w:val="24"/>
                <w:lang w:val="en-GB"/>
              </w:rPr>
              <w:fldChar w:fldCharType="end"/>
            </w:r>
          </w:p>
        </w:tc>
      </w:tr>
      <w:tr w:rsidR="00792707" w14:paraId="313A5BB7" w14:textId="77777777" w:rsidTr="00601A0F">
        <w:tc>
          <w:tcPr>
            <w:tcW w:w="1544" w:type="dxa"/>
          </w:tcPr>
          <w:p w14:paraId="3F36CB55" w14:textId="77777777" w:rsidR="00792707" w:rsidRDefault="00792707" w:rsidP="00601A0F">
            <w:pPr>
              <w:ind w:left="0"/>
              <w:rPr>
                <w:sz w:val="24"/>
                <w:szCs w:val="24"/>
                <w:lang w:val="en-GB"/>
              </w:rPr>
            </w:pPr>
          </w:p>
        </w:tc>
        <w:tc>
          <w:tcPr>
            <w:tcW w:w="1726" w:type="dxa"/>
          </w:tcPr>
          <w:p w14:paraId="34235D70" w14:textId="77777777" w:rsidR="00792707" w:rsidRDefault="00792707" w:rsidP="00601A0F">
            <w:pPr>
              <w:ind w:left="0"/>
              <w:rPr>
                <w:sz w:val="24"/>
                <w:szCs w:val="24"/>
                <w:lang w:val="en-GB"/>
              </w:rPr>
            </w:pPr>
            <w:r>
              <w:rPr>
                <w:sz w:val="24"/>
                <w:szCs w:val="24"/>
                <w:lang w:val="en-GB"/>
              </w:rPr>
              <w:t>Moderate</w:t>
            </w:r>
          </w:p>
        </w:tc>
        <w:tc>
          <w:tcPr>
            <w:tcW w:w="2024" w:type="dxa"/>
          </w:tcPr>
          <w:p w14:paraId="4BC45832" w14:textId="77777777" w:rsidR="00792707" w:rsidRDefault="00792707" w:rsidP="00601A0F">
            <w:pPr>
              <w:ind w:left="0"/>
              <w:rPr>
                <w:sz w:val="24"/>
                <w:szCs w:val="24"/>
                <w:lang w:val="en-GB"/>
              </w:rPr>
            </w:pPr>
            <w:r w:rsidRPr="009F4F3F">
              <w:rPr>
                <w:lang w:val="en-GB"/>
              </w:rPr>
              <w:t>Some difficulty daily activities</w:t>
            </w:r>
          </w:p>
        </w:tc>
        <w:tc>
          <w:tcPr>
            <w:tcW w:w="1692" w:type="dxa"/>
          </w:tcPr>
          <w:p w14:paraId="46784D15" w14:textId="77777777" w:rsidR="00792707" w:rsidRDefault="00792707" w:rsidP="00601A0F">
            <w:pPr>
              <w:ind w:left="0"/>
              <w:rPr>
                <w:sz w:val="24"/>
                <w:szCs w:val="24"/>
                <w:lang w:val="en-GB"/>
              </w:rPr>
            </w:pPr>
          </w:p>
        </w:tc>
        <w:tc>
          <w:tcPr>
            <w:tcW w:w="1113" w:type="dxa"/>
          </w:tcPr>
          <w:p w14:paraId="1031ED15" w14:textId="77777777" w:rsidR="00792707" w:rsidRDefault="00792707" w:rsidP="00601A0F">
            <w:pPr>
              <w:ind w:left="0"/>
              <w:rPr>
                <w:sz w:val="24"/>
                <w:szCs w:val="24"/>
                <w:lang w:val="en-GB"/>
              </w:rPr>
            </w:pPr>
          </w:p>
        </w:tc>
        <w:tc>
          <w:tcPr>
            <w:tcW w:w="917" w:type="dxa"/>
          </w:tcPr>
          <w:p w14:paraId="6660F8EC" w14:textId="77777777" w:rsidR="00792707" w:rsidRDefault="00792707" w:rsidP="00601A0F">
            <w:pPr>
              <w:ind w:left="0"/>
              <w:rPr>
                <w:sz w:val="24"/>
                <w:szCs w:val="24"/>
                <w:lang w:val="en-GB"/>
              </w:rPr>
            </w:pPr>
          </w:p>
        </w:tc>
      </w:tr>
      <w:tr w:rsidR="00792707" w14:paraId="24FBC8D8" w14:textId="77777777" w:rsidTr="00601A0F">
        <w:tc>
          <w:tcPr>
            <w:tcW w:w="1544" w:type="dxa"/>
          </w:tcPr>
          <w:p w14:paraId="26DD3720" w14:textId="77777777" w:rsidR="00792707" w:rsidRDefault="00792707" w:rsidP="00601A0F">
            <w:pPr>
              <w:ind w:left="0"/>
              <w:rPr>
                <w:sz w:val="24"/>
                <w:szCs w:val="24"/>
                <w:lang w:val="en-GB"/>
              </w:rPr>
            </w:pPr>
          </w:p>
        </w:tc>
        <w:tc>
          <w:tcPr>
            <w:tcW w:w="1726" w:type="dxa"/>
          </w:tcPr>
          <w:p w14:paraId="0F989095" w14:textId="77777777" w:rsidR="00792707" w:rsidRDefault="00792707" w:rsidP="00601A0F">
            <w:pPr>
              <w:ind w:left="0"/>
              <w:rPr>
                <w:sz w:val="24"/>
                <w:szCs w:val="24"/>
                <w:lang w:val="en-GB"/>
              </w:rPr>
            </w:pPr>
            <w:r>
              <w:rPr>
                <w:sz w:val="24"/>
                <w:szCs w:val="24"/>
                <w:lang w:val="en-GB"/>
              </w:rPr>
              <w:t>Severe</w:t>
            </w:r>
          </w:p>
        </w:tc>
        <w:tc>
          <w:tcPr>
            <w:tcW w:w="2024" w:type="dxa"/>
          </w:tcPr>
          <w:p w14:paraId="6AEF6251" w14:textId="77777777" w:rsidR="00792707" w:rsidRDefault="00792707" w:rsidP="00601A0F">
            <w:pPr>
              <w:ind w:left="0"/>
              <w:rPr>
                <w:sz w:val="24"/>
                <w:szCs w:val="24"/>
                <w:lang w:val="en-GB"/>
              </w:rPr>
            </w:pPr>
          </w:p>
        </w:tc>
        <w:tc>
          <w:tcPr>
            <w:tcW w:w="1692" w:type="dxa"/>
          </w:tcPr>
          <w:p w14:paraId="7C9BB47C" w14:textId="77777777" w:rsidR="00792707" w:rsidRDefault="00792707" w:rsidP="00601A0F">
            <w:pPr>
              <w:ind w:left="0"/>
              <w:rPr>
                <w:sz w:val="24"/>
                <w:szCs w:val="24"/>
                <w:lang w:val="en-GB"/>
              </w:rPr>
            </w:pPr>
          </w:p>
        </w:tc>
        <w:tc>
          <w:tcPr>
            <w:tcW w:w="1113" w:type="dxa"/>
          </w:tcPr>
          <w:p w14:paraId="7C67EB02" w14:textId="77777777" w:rsidR="00792707" w:rsidRDefault="00792707" w:rsidP="00601A0F">
            <w:pPr>
              <w:ind w:left="0"/>
              <w:rPr>
                <w:sz w:val="24"/>
                <w:szCs w:val="24"/>
                <w:lang w:val="en-GB"/>
              </w:rPr>
            </w:pPr>
          </w:p>
        </w:tc>
        <w:tc>
          <w:tcPr>
            <w:tcW w:w="917" w:type="dxa"/>
          </w:tcPr>
          <w:p w14:paraId="39AFB692" w14:textId="77777777" w:rsidR="00792707" w:rsidRDefault="00792707" w:rsidP="00601A0F">
            <w:pPr>
              <w:ind w:left="0"/>
              <w:rPr>
                <w:sz w:val="24"/>
                <w:szCs w:val="24"/>
                <w:lang w:val="en-GB"/>
              </w:rPr>
            </w:pPr>
          </w:p>
        </w:tc>
      </w:tr>
    </w:tbl>
    <w:p w14:paraId="6A54DD15" w14:textId="77777777" w:rsidR="00792707" w:rsidRPr="000E70CE" w:rsidRDefault="00792707" w:rsidP="00792707">
      <w:pPr>
        <w:ind w:left="0"/>
        <w:rPr>
          <w:sz w:val="24"/>
          <w:szCs w:val="24"/>
          <w:lang w:val="en-GB"/>
        </w:rPr>
      </w:pPr>
    </w:p>
    <w:p w14:paraId="79311534" w14:textId="77777777" w:rsidR="00460AFC" w:rsidRPr="00460AFC" w:rsidRDefault="00460AFC" w:rsidP="00460AFC">
      <w:pPr>
        <w:ind w:left="0"/>
        <w:rPr>
          <w:sz w:val="24"/>
          <w:szCs w:val="24"/>
          <w:lang w:val="en-GB"/>
        </w:rPr>
      </w:pPr>
    </w:p>
    <w:sectPr w:rsidR="00460AFC" w:rsidRPr="00460AF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Ângela Ben" w:date="2022-07-19T10:42:00Z" w:initials="ÂB">
    <w:p w14:paraId="073E69D7" w14:textId="77777777" w:rsidR="00030E14" w:rsidRDefault="00030E14" w:rsidP="0007418E">
      <w:pPr>
        <w:pStyle w:val="CommentText"/>
      </w:pPr>
      <w:r>
        <w:rPr>
          <w:rStyle w:val="CommentReference"/>
        </w:rPr>
        <w:annotationRef/>
      </w:r>
      <w:r>
        <w:rPr>
          <w:lang w:val="en-GB"/>
        </w:rPr>
        <w:t>This article is in the folder named article-1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3E69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10913" w16cex:dateUtc="2022-07-19T08: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3E69D7" w16cid:durableId="268109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D4E71"/>
    <w:multiLevelType w:val="multilevel"/>
    <w:tmpl w:val="A2C02F8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38F3C57"/>
    <w:multiLevelType w:val="multilevel"/>
    <w:tmpl w:val="DFA0AEE6"/>
    <w:lvl w:ilvl="0">
      <w:start w:val="1"/>
      <w:numFmt w:val="upperLetter"/>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42793208">
    <w:abstractNumId w:val="1"/>
  </w:num>
  <w:num w:numId="2" w16cid:durableId="57963233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Ângela Ben">
    <w15:presenceInfo w15:providerId="Windows Live" w15:userId="594396f5345f26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A49"/>
    <w:rsid w:val="00030E14"/>
    <w:rsid w:val="00041B45"/>
    <w:rsid w:val="00050C28"/>
    <w:rsid w:val="00053466"/>
    <w:rsid w:val="000A4942"/>
    <w:rsid w:val="000B1B66"/>
    <w:rsid w:val="000D63F3"/>
    <w:rsid w:val="000E24E2"/>
    <w:rsid w:val="0012578A"/>
    <w:rsid w:val="00164A49"/>
    <w:rsid w:val="00176555"/>
    <w:rsid w:val="001A63AE"/>
    <w:rsid w:val="001F3159"/>
    <w:rsid w:val="00202494"/>
    <w:rsid w:val="00277C2A"/>
    <w:rsid w:val="002860D8"/>
    <w:rsid w:val="002A58D3"/>
    <w:rsid w:val="002E5017"/>
    <w:rsid w:val="002F3B88"/>
    <w:rsid w:val="00301503"/>
    <w:rsid w:val="00325165"/>
    <w:rsid w:val="00362859"/>
    <w:rsid w:val="00365A1C"/>
    <w:rsid w:val="003673B4"/>
    <w:rsid w:val="0037116F"/>
    <w:rsid w:val="00377526"/>
    <w:rsid w:val="0038683A"/>
    <w:rsid w:val="00392B7F"/>
    <w:rsid w:val="00394FA9"/>
    <w:rsid w:val="00395AD3"/>
    <w:rsid w:val="003A7295"/>
    <w:rsid w:val="003C6869"/>
    <w:rsid w:val="00433633"/>
    <w:rsid w:val="00460AFC"/>
    <w:rsid w:val="00480E47"/>
    <w:rsid w:val="004D37A3"/>
    <w:rsid w:val="004D3A6E"/>
    <w:rsid w:val="004D5C67"/>
    <w:rsid w:val="0050774F"/>
    <w:rsid w:val="00507AC7"/>
    <w:rsid w:val="00523DC8"/>
    <w:rsid w:val="00532D80"/>
    <w:rsid w:val="00536D4A"/>
    <w:rsid w:val="00572E26"/>
    <w:rsid w:val="005C1131"/>
    <w:rsid w:val="005C2959"/>
    <w:rsid w:val="005D72BB"/>
    <w:rsid w:val="006062AE"/>
    <w:rsid w:val="00622D0C"/>
    <w:rsid w:val="006739FE"/>
    <w:rsid w:val="006901C0"/>
    <w:rsid w:val="006F7C24"/>
    <w:rsid w:val="007035DE"/>
    <w:rsid w:val="00711863"/>
    <w:rsid w:val="0076234E"/>
    <w:rsid w:val="00770F6C"/>
    <w:rsid w:val="00785BD2"/>
    <w:rsid w:val="00792707"/>
    <w:rsid w:val="007B2B3D"/>
    <w:rsid w:val="007E601C"/>
    <w:rsid w:val="00834427"/>
    <w:rsid w:val="008429A8"/>
    <w:rsid w:val="00860ADD"/>
    <w:rsid w:val="00876140"/>
    <w:rsid w:val="008A67C6"/>
    <w:rsid w:val="008F4C31"/>
    <w:rsid w:val="00900EED"/>
    <w:rsid w:val="00915333"/>
    <w:rsid w:val="00925808"/>
    <w:rsid w:val="009630B6"/>
    <w:rsid w:val="009B7D34"/>
    <w:rsid w:val="009F1545"/>
    <w:rsid w:val="00A175A0"/>
    <w:rsid w:val="00A607E2"/>
    <w:rsid w:val="00A975DE"/>
    <w:rsid w:val="00AA4AE5"/>
    <w:rsid w:val="00AE4C61"/>
    <w:rsid w:val="00B1172C"/>
    <w:rsid w:val="00B46CEE"/>
    <w:rsid w:val="00B75D58"/>
    <w:rsid w:val="00B77085"/>
    <w:rsid w:val="00BD479B"/>
    <w:rsid w:val="00C71A9B"/>
    <w:rsid w:val="00C757BA"/>
    <w:rsid w:val="00CB0CE1"/>
    <w:rsid w:val="00CF6D90"/>
    <w:rsid w:val="00D202B8"/>
    <w:rsid w:val="00D62607"/>
    <w:rsid w:val="00D62958"/>
    <w:rsid w:val="00D64ACB"/>
    <w:rsid w:val="00D73702"/>
    <w:rsid w:val="00D91835"/>
    <w:rsid w:val="00D9655F"/>
    <w:rsid w:val="00DC3626"/>
    <w:rsid w:val="00DF6E49"/>
    <w:rsid w:val="00E64DC5"/>
    <w:rsid w:val="00E71E85"/>
    <w:rsid w:val="00E848AC"/>
    <w:rsid w:val="00EC75F9"/>
    <w:rsid w:val="00EF6FB6"/>
    <w:rsid w:val="00F362BC"/>
    <w:rsid w:val="00F77316"/>
    <w:rsid w:val="00F8701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6F6EE"/>
  <w15:chartTrackingRefBased/>
  <w15:docId w15:val="{5B528BF8-2C84-428F-8ED1-902C996EA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200" w:line="360" w:lineRule="auto"/>
        <w:ind w:left="74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357"/>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5C67"/>
    <w:pPr>
      <w:spacing w:before="100" w:beforeAutospacing="1" w:after="100" w:afterAutospacing="1" w:line="240" w:lineRule="auto"/>
      <w:ind w:left="0"/>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572E26"/>
    <w:rPr>
      <w:color w:val="0563C1" w:themeColor="hyperlink"/>
      <w:u w:val="single"/>
    </w:rPr>
  </w:style>
  <w:style w:type="character" w:styleId="UnresolvedMention">
    <w:name w:val="Unresolved Mention"/>
    <w:basedOn w:val="DefaultParagraphFont"/>
    <w:uiPriority w:val="99"/>
    <w:semiHidden/>
    <w:unhideWhenUsed/>
    <w:rsid w:val="00572E26"/>
    <w:rPr>
      <w:color w:val="605E5C"/>
      <w:shd w:val="clear" w:color="auto" w:fill="E1DFDD"/>
    </w:rPr>
  </w:style>
  <w:style w:type="paragraph" w:styleId="Bibliography">
    <w:name w:val="Bibliography"/>
    <w:basedOn w:val="Normal"/>
    <w:next w:val="Normal"/>
    <w:uiPriority w:val="37"/>
    <w:unhideWhenUsed/>
    <w:rsid w:val="007035DE"/>
    <w:pPr>
      <w:tabs>
        <w:tab w:val="left" w:pos="144"/>
      </w:tabs>
      <w:spacing w:after="240" w:line="240" w:lineRule="auto"/>
      <w:ind w:left="144" w:hanging="144"/>
    </w:pPr>
  </w:style>
  <w:style w:type="paragraph" w:styleId="ListParagraph">
    <w:name w:val="List Paragraph"/>
    <w:basedOn w:val="Normal"/>
    <w:uiPriority w:val="34"/>
    <w:qFormat/>
    <w:rsid w:val="00395AD3"/>
    <w:pPr>
      <w:ind w:left="720"/>
      <w:contextualSpacing/>
    </w:pPr>
  </w:style>
  <w:style w:type="table" w:styleId="TableGrid">
    <w:name w:val="Table Grid"/>
    <w:basedOn w:val="TableNormal"/>
    <w:uiPriority w:val="39"/>
    <w:rsid w:val="00792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92707"/>
    <w:rPr>
      <w:b/>
      <w:bCs/>
    </w:rPr>
  </w:style>
  <w:style w:type="character" w:styleId="CommentReference">
    <w:name w:val="annotation reference"/>
    <w:basedOn w:val="DefaultParagraphFont"/>
    <w:uiPriority w:val="99"/>
    <w:semiHidden/>
    <w:unhideWhenUsed/>
    <w:rsid w:val="00030E14"/>
    <w:rPr>
      <w:sz w:val="16"/>
      <w:szCs w:val="16"/>
    </w:rPr>
  </w:style>
  <w:style w:type="paragraph" w:styleId="CommentText">
    <w:name w:val="annotation text"/>
    <w:basedOn w:val="Normal"/>
    <w:link w:val="CommentTextChar"/>
    <w:uiPriority w:val="99"/>
    <w:unhideWhenUsed/>
    <w:rsid w:val="00030E14"/>
    <w:pPr>
      <w:spacing w:line="240" w:lineRule="auto"/>
    </w:pPr>
    <w:rPr>
      <w:sz w:val="20"/>
      <w:szCs w:val="20"/>
    </w:rPr>
  </w:style>
  <w:style w:type="character" w:customStyle="1" w:styleId="CommentTextChar">
    <w:name w:val="Comment Text Char"/>
    <w:basedOn w:val="DefaultParagraphFont"/>
    <w:link w:val="CommentText"/>
    <w:uiPriority w:val="99"/>
    <w:rsid w:val="00030E14"/>
    <w:rPr>
      <w:sz w:val="20"/>
      <w:szCs w:val="20"/>
    </w:rPr>
  </w:style>
  <w:style w:type="paragraph" w:styleId="CommentSubject">
    <w:name w:val="annotation subject"/>
    <w:basedOn w:val="CommentText"/>
    <w:next w:val="CommentText"/>
    <w:link w:val="CommentSubjectChar"/>
    <w:uiPriority w:val="99"/>
    <w:semiHidden/>
    <w:unhideWhenUsed/>
    <w:rsid w:val="00030E14"/>
    <w:rPr>
      <w:b/>
      <w:bCs/>
    </w:rPr>
  </w:style>
  <w:style w:type="character" w:customStyle="1" w:styleId="CommentSubjectChar">
    <w:name w:val="Comment Subject Char"/>
    <w:basedOn w:val="CommentTextChar"/>
    <w:link w:val="CommentSubject"/>
    <w:uiPriority w:val="99"/>
    <w:semiHidden/>
    <w:rsid w:val="00030E14"/>
    <w:rPr>
      <w:b/>
      <w:bCs/>
      <w:sz w:val="20"/>
      <w:szCs w:val="20"/>
    </w:rPr>
  </w:style>
  <w:style w:type="table" w:styleId="PlainTable2">
    <w:name w:val="Plain Table 2"/>
    <w:basedOn w:val="TableNormal"/>
    <w:uiPriority w:val="42"/>
    <w:rsid w:val="00480E4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2890">
      <w:bodyDiv w:val="1"/>
      <w:marLeft w:val="0"/>
      <w:marRight w:val="0"/>
      <w:marTop w:val="0"/>
      <w:marBottom w:val="0"/>
      <w:divBdr>
        <w:top w:val="none" w:sz="0" w:space="0" w:color="auto"/>
        <w:left w:val="none" w:sz="0" w:space="0" w:color="auto"/>
        <w:bottom w:val="none" w:sz="0" w:space="0" w:color="auto"/>
        <w:right w:val="none" w:sz="0" w:space="0" w:color="auto"/>
      </w:divBdr>
    </w:div>
    <w:div w:id="1125732026">
      <w:bodyDiv w:val="1"/>
      <w:marLeft w:val="0"/>
      <w:marRight w:val="0"/>
      <w:marTop w:val="0"/>
      <w:marBottom w:val="0"/>
      <w:divBdr>
        <w:top w:val="none" w:sz="0" w:space="0" w:color="auto"/>
        <w:left w:val="none" w:sz="0" w:space="0" w:color="auto"/>
        <w:bottom w:val="none" w:sz="0" w:space="0" w:color="auto"/>
        <w:right w:val="none" w:sz="0" w:space="0" w:color="auto"/>
      </w:divBdr>
    </w:div>
    <w:div w:id="1770080717">
      <w:bodyDiv w:val="1"/>
      <w:marLeft w:val="0"/>
      <w:marRight w:val="0"/>
      <w:marTop w:val="0"/>
      <w:marBottom w:val="0"/>
      <w:divBdr>
        <w:top w:val="none" w:sz="0" w:space="0" w:color="auto"/>
        <w:left w:val="none" w:sz="0" w:space="0" w:color="auto"/>
        <w:bottom w:val="none" w:sz="0" w:space="0" w:color="auto"/>
        <w:right w:val="none" w:sz="0" w:space="0" w:color="auto"/>
      </w:divBdr>
    </w:div>
    <w:div w:id="182990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hyperlink" Target="mailto:a.jornadaben@aighd.org" TargetMode="Externa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13</Pages>
  <Words>16614</Words>
  <Characters>94706</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Ângela Ben</dc:creator>
  <cp:keywords/>
  <dc:description/>
  <cp:lastModifiedBy>Ângela Ben</cp:lastModifiedBy>
  <cp:revision>16</cp:revision>
  <dcterms:created xsi:type="dcterms:W3CDTF">2022-07-19T11:40:00Z</dcterms:created>
  <dcterms:modified xsi:type="dcterms:W3CDTF">2022-07-19T13:24:00Z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id="9cVLRvPW"/&gt;&lt;style id="http://www.zotero.org/styles/the-lancet" hasBibliography="1" bibliographyStyleHasBeenSet="1"/&gt;&lt;prefs&gt;&lt;pref name="fieldType" value="Field"/&gt;&lt;/prefs&gt;&lt;/data&gt;</vt:lpwstr>
  </property>
</Properties>
</file>