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37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6"/>
        <w:gridCol w:w="3346"/>
      </w:tblGrid>
      <w:tr>
        <w:trPr/>
        <w:tc>
          <w:tcPr>
            <w:tcW w:w="5026" w:type="dxa"/>
            <w:tcBorders/>
            <w:vAlign w:val="center"/>
          </w:tcPr>
          <w:p>
            <w:pPr>
              <w:pStyle w:val="BodyTextcandidate-name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Maria Thompson</w:t>
            </w:r>
          </w:p>
          <w:p>
            <w:pPr>
              <w:pStyle w:val="BodyTextcandidate-title"/>
              <w:bidi w:val="0"/>
              <w:spacing w:before="0" w:after="283"/>
              <w:jc w:val="left"/>
              <w:rPr/>
            </w:pPr>
            <w:r>
              <w:rPr/>
              <w:t>RN, BSN  |  Registered Nurse</w:t>
            </w:r>
          </w:p>
          <w:p>
            <w:pPr>
              <w:pStyle w:val="BodyTextnpi-badge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NPI: 1234567890</w:t>
            </w:r>
          </w:p>
        </w:tc>
        <w:tc>
          <w:tcPr>
            <w:tcW w:w="3346" w:type="dxa"/>
            <w:tcBorders/>
            <w:vAlign w:val="center"/>
          </w:tcPr>
          <w:p>
            <w:pPr>
              <w:pStyle w:val="BodyTextcontact-line"/>
              <w:bidi w:val="0"/>
              <w:spacing w:before="0" w:after="283"/>
              <w:jc w:val="right"/>
              <w:rPr/>
            </w:pPr>
            <w:r>
              <w:rPr/>
              <w:t>maria.thompson@email.com</w:t>
            </w:r>
          </w:p>
          <w:p>
            <w:pPr>
              <w:pStyle w:val="BodyTextcontact-line"/>
              <w:bidi w:val="0"/>
              <w:spacing w:before="0" w:after="283"/>
              <w:jc w:val="right"/>
              <w:rPr/>
            </w:pPr>
            <w:r>
              <w:rPr/>
              <w:t>(555) 302-7741</w:t>
            </w:r>
          </w:p>
          <w:p>
            <w:pPr>
              <w:pStyle w:val="BodyTextcontact-line"/>
              <w:bidi w:val="0"/>
              <w:spacing w:before="0" w:after="283"/>
              <w:jc w:val="right"/>
              <w:rPr/>
            </w:pPr>
            <w:r>
              <w:rPr/>
              <w:t>Houston, TX</w:t>
            </w:r>
          </w:p>
          <w:p>
            <w:pPr>
              <w:pStyle w:val="BodyTextcontact-line"/>
              <w:bidi w:val="0"/>
              <w:spacing w:before="0" w:after="283"/>
              <w:jc w:val="right"/>
              <w:rPr/>
            </w:pPr>
            <w:r>
              <w:rPr/>
              <w:t>RN License #RN987654 — Texas</w:t>
            </w:r>
          </w:p>
        </w:tc>
      </w:tr>
    </w:tbl>
    <w:p>
      <w:pPr>
        <w:pStyle w:val="BodyTextsection-heading"/>
        <w:bidi w:val="0"/>
        <w:jc w:val="left"/>
        <w:rPr/>
      </w:pPr>
      <w:r>
        <w:rPr/>
        <w:t>Professional Summary</w:t>
      </w:r>
    </w:p>
    <w:p>
      <w:pPr>
        <w:pStyle w:val="BodyTextsummary-text"/>
        <w:bidi w:val="0"/>
        <w:jc w:val="left"/>
        <w:rPr/>
      </w:pPr>
      <w:r>
        <w:rPr/>
        <w:t xml:space="preserve">Compassionate and detail-oriented Registered Nurse with 9 years of experience in acute care and medical-surgical nursing. Proven ability to manage high-acuity patients, coordinate interdisciplinary care teams, and ensure patient safety. Committed to evidence-based practice and continuous quality improvement. </w:t>
      </w:r>
    </w:p>
    <w:p>
      <w:pPr>
        <w:pStyle w:val="BodyTextsection-heading"/>
        <w:bidi w:val="0"/>
        <w:jc w:val="left"/>
        <w:rPr/>
      </w:pPr>
      <w:r>
        <w:rPr/>
        <w:t>Licenses &amp; Certifications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Registered Nurse (RN) License</w:t>
      </w:r>
      <w:r>
        <w:rPr>
          <w:sz w:val="22"/>
        </w:rPr>
        <w:t xml:space="preserve"> — Texas Board of Nursing  |  License #RN987654  |  Active through 2026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Basic Life Support (BLS)</w:t>
      </w:r>
      <w:r>
        <w:rPr>
          <w:sz w:val="22"/>
        </w:rPr>
        <w:t xml:space="preserve"> — American Heart Association  |  Expires 2025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Advanced Cardiovascular Life Support (ACLS)</w:t>
      </w:r>
      <w:r>
        <w:rPr>
          <w:sz w:val="22"/>
        </w:rPr>
        <w:t xml:space="preserve"> — American Heart Association  |  Expires 2025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Certified Medical-Surgical Registered Nurse (CMSRN)</w:t>
      </w:r>
      <w:r>
        <w:rPr>
          <w:sz w:val="22"/>
        </w:rPr>
        <w:t xml:space="preserve"> — MSNCB  |  Awarded 2020</w:t>
      </w:r>
      <w:r>
        <w:rPr/>
        <w:t xml:space="preserve"> </w:t>
      </w:r>
    </w:p>
    <w:p>
      <w:pPr>
        <w:pStyle w:val="BodyTextsection-heading"/>
        <w:bidi w:val="0"/>
        <w:jc w:val="left"/>
        <w:rPr/>
      </w:pPr>
      <w:r>
        <w:rPr/>
        <w:t>Work Experience</w:t>
      </w:r>
    </w:p>
    <w:tbl>
      <w:tblPr>
        <w:tblW w:w="66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41"/>
        <w:gridCol w:w="1951"/>
      </w:tblGrid>
      <w:tr>
        <w:trPr/>
        <w:tc>
          <w:tcPr>
            <w:tcW w:w="4741" w:type="dxa"/>
            <w:tcBorders/>
            <w:vAlign w:val="center"/>
          </w:tcPr>
          <w:p>
            <w:pPr>
              <w:pStyle w:val="BodyTextjob-title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Charge Nurse</w:t>
            </w:r>
          </w:p>
          <w:p>
            <w:pPr>
              <w:pStyle w:val="BodyTextjob-employer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Memorial Hermann Hospital  —  Houston, TX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i/>
                <w:color w:val="444444"/>
                <w:sz w:val="20"/>
              </w:rPr>
            </w:pPr>
            <w:r>
              <w:rPr>
                <w:i/>
                <w:color w:val="444444"/>
                <w:sz w:val="20"/>
              </w:rPr>
              <w:t>Jan 2019 – Present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Supervises a 32-bed medical-surgical unit with a team of 12 nurses per shift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Coordinates patient care plans with physicians, therapists, and social workers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Reduced unit-wide medication errors by 28% through implementation of a double-check protocol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Onboarded and mentored 15+ new graduate nurses over 5 years </w:t>
      </w:r>
    </w:p>
    <w:tbl>
      <w:tblPr>
        <w:tblW w:w="6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6"/>
        <w:gridCol w:w="2176"/>
      </w:tblGrid>
      <w:tr>
        <w:trPr/>
        <w:tc>
          <w:tcPr>
            <w:tcW w:w="4396" w:type="dxa"/>
            <w:tcBorders/>
            <w:vAlign w:val="center"/>
          </w:tcPr>
          <w:p>
            <w:pPr>
              <w:pStyle w:val="BodyTextjob-title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Staff Registered Nurse</w:t>
            </w:r>
          </w:p>
          <w:p>
            <w:pPr>
              <w:pStyle w:val="BodyTextjob-employer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St. Luke's Health System  —  Houston, TX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i/>
                <w:color w:val="444444"/>
                <w:sz w:val="20"/>
              </w:rPr>
            </w:pPr>
            <w:r>
              <w:rPr>
                <w:i/>
                <w:color w:val="444444"/>
                <w:sz w:val="20"/>
              </w:rPr>
              <w:t>Apr 2015 – Dec 2018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Provided direct patient care for 6–8 patients per shift on a busy med-surg floor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Administered IV medications, wound care, and post-operative monitoring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Maintained 96% patient satisfaction scores consistently over 3 years </w:t>
      </w:r>
    </w:p>
    <w:p>
      <w:pPr>
        <w:pStyle w:val="BodyTextsection-heading"/>
        <w:bidi w:val="0"/>
        <w:jc w:val="left"/>
        <w:rPr/>
      </w:pPr>
      <w:r>
        <w:rPr/>
        <w:t>Education</w:t>
      </w:r>
    </w:p>
    <w:tbl>
      <w:tblPr>
        <w:tblW w:w="69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26"/>
        <w:gridCol w:w="2191"/>
      </w:tblGrid>
      <w:tr>
        <w:trPr/>
        <w:tc>
          <w:tcPr>
            <w:tcW w:w="4726" w:type="dxa"/>
            <w:tcBorders/>
            <w:vAlign w:val="center"/>
          </w:tcPr>
          <w:p>
            <w:pPr>
              <w:pStyle w:val="BodyTextedu-degree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Bachelor of Science in Nursing (BSN)</w:t>
            </w:r>
          </w:p>
          <w:p>
            <w:pPr>
              <w:pStyle w:val="BodyTextedu-institution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University of Houston  —  Houston, TX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i/>
                <w:color w:val="444444"/>
                <w:sz w:val="20"/>
              </w:rPr>
            </w:pPr>
            <w:r>
              <w:rPr>
                <w:i/>
                <w:color w:val="444444"/>
                <w:sz w:val="20"/>
              </w:rPr>
              <w:t>Graduated May 2015</w:t>
            </w:r>
          </w:p>
        </w:tc>
      </w:tr>
    </w:tbl>
    <w:tbl>
      <w:tblPr>
        <w:tblW w:w="69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16"/>
        <w:gridCol w:w="2176"/>
      </w:tblGrid>
      <w:tr>
        <w:trPr/>
        <w:tc>
          <w:tcPr>
            <w:tcW w:w="4816" w:type="dxa"/>
            <w:tcBorders/>
            <w:vAlign w:val="center"/>
          </w:tcPr>
          <w:p>
            <w:pPr>
              <w:pStyle w:val="BodyTextedu-degree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Associate Degree in Nursing (ADN)</w:t>
            </w:r>
          </w:p>
          <w:p>
            <w:pPr>
              <w:pStyle w:val="BodyTextedu-institution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Houston Community College  —  Houston, TX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i/>
                <w:color w:val="444444"/>
                <w:sz w:val="20"/>
              </w:rPr>
            </w:pPr>
            <w:r>
              <w:rPr>
                <w:i/>
                <w:color w:val="444444"/>
                <w:sz w:val="20"/>
              </w:rPr>
              <w:t>Graduated Dec 2013</w:t>
            </w:r>
          </w:p>
        </w:tc>
      </w:tr>
    </w:tbl>
    <w:p>
      <w:pPr>
        <w:pStyle w:val="BodyTextsection-heading"/>
        <w:bidi w:val="0"/>
        <w:jc w:val="left"/>
        <w:rPr/>
      </w:pPr>
      <w:r>
        <w:rPr/>
        <w:t>Skills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7"/>
        <w:gridCol w:w="5218"/>
      </w:tblGrid>
      <w:tr>
        <w:trPr/>
        <w:tc>
          <w:tcPr>
            <w:tcW w:w="4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1A1A1A"/>
              </w:rPr>
              <w:t>Electronic Health Records:</w:t>
            </w:r>
            <w:r>
              <w:rPr/>
              <w:br/>
              <w:t>Epic, Cerner, Meditech</w:t>
            </w:r>
          </w:p>
        </w:tc>
        <w:tc>
          <w:tcPr>
            <w:tcW w:w="5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1A1A1A"/>
              </w:rPr>
              <w:t>Clinical Skills:</w:t>
            </w:r>
            <w:r>
              <w:rPr/>
              <w:br/>
              <w:t>IV therapy, wound care, telemetry monitoring, patient education</w:t>
            </w:r>
          </w:p>
        </w:tc>
      </w:tr>
      <w:tr>
        <w:trPr/>
        <w:tc>
          <w:tcPr>
            <w:tcW w:w="4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1A1A1A"/>
              </w:rPr>
              <w:t>Leadership &amp; Soft Skills:</w:t>
            </w:r>
            <w:r>
              <w:rPr/>
              <w:br/>
              <w:t>Team leadership, critical thinking, patient advocacy, conflict resolution</w:t>
            </w:r>
          </w:p>
        </w:tc>
        <w:tc>
          <w:tcPr>
            <w:tcW w:w="5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1A1A1A"/>
              </w:rPr>
              <w:t>Specialization:</w:t>
            </w:r>
            <w:r>
              <w:rPr/>
              <w:br/>
              <w:t>Acute care, medical-surgical nursing, high-acuity patient management</w:t>
            </w:r>
          </w:p>
        </w:tc>
      </w:tr>
    </w:tbl>
    <w:p>
      <w:pPr>
        <w:pStyle w:val="BodyTextsection-heading"/>
        <w:bidi w:val="0"/>
        <w:jc w:val="left"/>
        <w:rPr/>
      </w:pPr>
      <w:r>
        <w:rPr/>
        <w:t>Professional Affiliations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American Nurses Association (ANA)</w:t>
      </w:r>
      <w:r>
        <w:rPr>
          <w:sz w:val="22"/>
        </w:rPr>
        <w:t xml:space="preserve"> — Member since 2015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Texas Nurses Association (TNA)</w:t>
      </w:r>
      <w:r>
        <w:rPr>
          <w:sz w:val="22"/>
        </w:rPr>
        <w:t xml:space="preserve"> — Member since 2015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60"/>
        <w:ind w:hanging="283" w:left="709" w:right="0"/>
        <w:jc w:val="left"/>
        <w:rPr/>
      </w:pPr>
      <w:r>
        <w:rPr>
          <w:rStyle w:val="Strong"/>
          <w:sz w:val="22"/>
        </w:rPr>
        <w:t>Academy of Medical-Surgical Nurses (AMSN)</w:t>
      </w:r>
      <w:r>
        <w:rPr>
          <w:sz w:val="22"/>
        </w:rPr>
        <w:t xml:space="preserve"> — Member since 2020</w:t>
      </w:r>
      <w:r>
        <w:rPr/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sans-serif" w:hAnsi="Calibri;sans-serif" w:eastAsia="Calibri;sans-serif" w:cs="Calibri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88" w:before="240" w:after="40"/>
      <w:outlineLvl w:val="0"/>
    </w:pPr>
    <w:rPr>
      <w:rFonts w:ascii="Liberation Serif" w:hAnsi="Liberation Serif" w:eastAsia="WenQuanYi Zen Hei" w:cs="FreeSans"/>
      <w:b/>
      <w:bCs/>
      <w:color w:val="1A1A1A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280" w:after="0"/>
      <w:outlineLvl w:val="1"/>
    </w:pPr>
    <w:rPr>
      <w:rFonts w:ascii="Liberation Serif" w:hAnsi="Liberation Serif" w:eastAsia="WenQuanYi Zen Hei" w:cs="FreeSans"/>
      <w:b/>
      <w:bCs/>
      <w:caps/>
      <w:color w:val="1A1A1A"/>
      <w:spacing w:val="10"/>
      <w:sz w:val="22"/>
      <w:szCs w:val="22"/>
    </w:rPr>
  </w:style>
  <w:style w:type="paragraph" w:styleId="Heading3">
    <w:name w:val="Heading 3"/>
    <w:basedOn w:val="Heading"/>
    <w:next w:val="BodyText"/>
    <w:qFormat/>
    <w:pPr>
      <w:spacing w:before="160" w:after="20"/>
      <w:outlineLvl w:val="2"/>
    </w:pPr>
    <w:rPr>
      <w:rFonts w:ascii="Liberation Serif" w:hAnsi="Liberation Serif" w:eastAsia="WenQuanYi Zen Hei" w:cs="FreeSans"/>
      <w:b/>
      <w:bCs/>
      <w:color w:val="1A1A1A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0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andidate-name">
    <w:name w:val="Body Text.candidate-name"/>
    <w:basedOn w:val="TableContents"/>
    <w:qFormat/>
    <w:pPr>
      <w:spacing w:lineRule="auto" w:line="273"/>
    </w:pPr>
    <w:rPr>
      <w:b/>
      <w:bCs/>
      <w:color w:val="1A1A1A"/>
      <w:sz w:val="52"/>
      <w:szCs w:val="52"/>
    </w:rPr>
  </w:style>
  <w:style w:type="paragraph" w:styleId="BodyTextcandidate-title">
    <w:name w:val="Body Text.candidate-title"/>
    <w:basedOn w:val="TableContents"/>
    <w:qFormat/>
    <w:pPr>
      <w:spacing w:lineRule="auto" w:line="336"/>
    </w:pPr>
    <w:rPr>
      <w:b/>
      <w:bCs/>
      <w:color w:val="2B5797"/>
      <w:sz w:val="24"/>
      <w:szCs w:val="24"/>
    </w:rPr>
  </w:style>
  <w:style w:type="paragraph" w:styleId="BodyTextnpi-badge">
    <w:name w:val="Body Text.npi-badge"/>
    <w:basedOn w:val="TableContents"/>
    <w:qFormat/>
    <w:pPr/>
    <w:rPr>
      <w:i/>
      <w:iCs/>
      <w:color w:val="666666"/>
      <w:sz w:val="18"/>
      <w:szCs w:val="18"/>
    </w:rPr>
  </w:style>
  <w:style w:type="paragraph" w:styleId="BodyTextcontact-line">
    <w:name w:val="Body Text.contact-line"/>
    <w:basedOn w:val="TableContents"/>
    <w:qFormat/>
    <w:pPr>
      <w:spacing w:lineRule="auto" w:line="384"/>
    </w:pPr>
    <w:rPr>
      <w:color w:val="444444"/>
      <w:sz w:val="19"/>
      <w:szCs w:val="19"/>
    </w:rPr>
  </w:style>
  <w:style w:type="paragraph" w:styleId="BodyTextsection-heading">
    <w:name w:val="Body Text.section-heading"/>
    <w:basedOn w:val="BodyText"/>
    <w:qFormat/>
    <w:pPr>
      <w:pBdr>
        <w:bottom w:val="single" w:sz="8" w:space="2" w:color="2B5797"/>
      </w:pBdr>
      <w:spacing w:before="280" w:after="60"/>
    </w:pPr>
    <w:rPr>
      <w:b/>
      <w:bCs/>
      <w:caps/>
      <w:color w:val="1A1A1A"/>
      <w:spacing w:val="12"/>
      <w:sz w:val="22"/>
      <w:szCs w:val="22"/>
    </w:rPr>
  </w:style>
  <w:style w:type="paragraph" w:styleId="BodyTextsummary-text">
    <w:name w:val="Body Text.summary-text"/>
    <w:basedOn w:val="BodyText"/>
    <w:qFormat/>
    <w:pPr>
      <w:spacing w:lineRule="auto" w:line="372" w:before="100" w:after="80"/>
    </w:pPr>
    <w:rPr>
      <w:color w:val="222222"/>
      <w:sz w:val="22"/>
      <w:szCs w:val="22"/>
    </w:rPr>
  </w:style>
  <w:style w:type="paragraph" w:styleId="BodyTextjob-title">
    <w:name w:val="Body Text.job-title"/>
    <w:basedOn w:val="TableContents"/>
    <w:qFormat/>
    <w:pPr/>
    <w:rPr>
      <w:b/>
      <w:bCs/>
      <w:color w:val="1A1A1A"/>
      <w:sz w:val="22"/>
      <w:szCs w:val="22"/>
    </w:rPr>
  </w:style>
  <w:style w:type="paragraph" w:styleId="BodyTextjob-employer">
    <w:name w:val="Body Text.job-employer"/>
    <w:basedOn w:val="TableContents"/>
    <w:qFormat/>
    <w:pPr/>
    <w:rPr>
      <w:color w:val="2B5797"/>
      <w:sz w:val="21"/>
      <w:szCs w:val="21"/>
    </w:rPr>
  </w:style>
  <w:style w:type="paragraph" w:styleId="BodyTextedu-degree">
    <w:name w:val="Body Text.edu-degree"/>
    <w:basedOn w:val="TableContents"/>
    <w:qFormat/>
    <w:pPr/>
    <w:rPr>
      <w:b/>
      <w:bCs/>
      <w:color w:val="1A1A1A"/>
      <w:sz w:val="22"/>
      <w:szCs w:val="22"/>
    </w:rPr>
  </w:style>
  <w:style w:type="paragraph" w:styleId="BodyTextedu-institution">
    <w:name w:val="Body Text.edu-institution"/>
    <w:basedOn w:val="TableContents"/>
    <w:qFormat/>
    <w:pPr/>
    <w:rPr>
      <w:color w:val="2B5797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Resume - Maria Thompson - Registered Nurse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