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79C"/>
        </w:rPr>
        <w:t>Comparación con los resultados oficiales del IHTC 2024</w:t>
      </w:r>
    </w:p>
    <w:p>
      <w:r>
        <w:rPr>
          <w:i/>
        </w:rPr>
        <w:t>Resultados de la propuesta en reglas de competicion (4 hilos, 600 s) frente al mejor resultado por instancia publicado por los participantes (reglas oficiales: 10 min y máximo 4 hilos).</w:t>
      </w:r>
    </w:p>
    <w:p>
      <w:pPr>
        <w:pStyle w:val="Heading1"/>
      </w:pPr>
      <w:r>
        <w:t>1. Estado de los datos</w:t>
      </w:r>
    </w:p>
    <w:p>
      <w:pPr>
        <w:pStyle w:val="ListBullet"/>
      </w:pPr>
      <w:r>
        <w:rPr>
          <w:b/>
        </w:rPr>
        <w:t xml:space="preserve">Resultados propios (reglas de competicion (4 hilos, 600 s)): </w:t>
      </w:r>
      <w:r>
        <w:t>disponibles (20/30 resueltas).</w:t>
      </w:r>
    </w:p>
    <w:p>
      <w:pPr>
        <w:pStyle w:val="ListBullet"/>
      </w:pPr>
      <w:r>
        <w:rPr>
          <w:b/>
        </w:rPr>
        <w:t xml:space="preserve">Resultados oficiales IHTC 2024: </w:t>
      </w:r>
      <w:r>
        <w:t>cargados para 30/30 instancias desde resultados_oficiales.json.</w:t>
      </w:r>
    </w:p>
    <w:p>
      <w:pPr>
        <w:pStyle w:val="Heading1"/>
      </w:pPr>
      <w:r>
        <w:t>2. Comparación por instancia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Nuestro coste</w:t>
              <w:br/>
              <w:t>(reglas)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Violac.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 (s)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</w:t>
              <w:br/>
              <w:t>oficial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 %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Fuente oficial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4.064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3.842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+5.8%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1.818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1.264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+43.8%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10.700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10.490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+2.0%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2.193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1.884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+16.4%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13.430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12.760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+5.3%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10.764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10.671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+0.9%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6.061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5.026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+20.6%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6.291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16.743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6.682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+150.6%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25.260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20.820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+21.3%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26.040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25.938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+0.4%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14.127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12.430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+13.7%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26.118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17.328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+50.7%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10.626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9.746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+9.0%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19.636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+57.3%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10.139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40.535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38.124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37.660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+1.2%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44.587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29.098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24.703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47.861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45.848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37.550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+22.1%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34.176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33.221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+2.9%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13.691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11.517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+18.9%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64.613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51.828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77.306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75.172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+2.8%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25.366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+103.3%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i30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INFACTIBLE_FASE2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37.943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</w:tbl>
    <w:p>
      <w:pPr>
        <w:pStyle w:val="Heading1"/>
      </w:pPr>
      <w:r>
        <w:t>3. Resumen</w:t>
      </w:r>
    </w:p>
    <w:p>
      <w:pPr>
        <w:pStyle w:val="ListBullet"/>
      </w:pPr>
      <w:r>
        <w:rPr>
          <w:b/>
        </w:rPr>
        <w:t xml:space="preserve">Gap medio vs oficial: </w:t>
      </w:r>
      <w:r>
        <w:t>+27.45%  (sobre 20 instancias con dato oficial)</w:t>
      </w:r>
    </w:p>
    <w:p>
      <w:pPr>
        <w:pStyle w:val="ListBullet"/>
      </w:pPr>
      <w:r>
        <w:rPr>
          <w:b/>
        </w:rPr>
        <w:t xml:space="preserve">Gap mínimo / máximo: </w:t>
      </w:r>
      <w:r>
        <w:t>+0.4% / +150.6%</w:t>
      </w:r>
    </w:p>
    <w:p>
      <w:pPr>
        <w:pStyle w:val="ListBullet"/>
      </w:pPr>
      <w:r>
        <w:rPr>
          <w:b/>
        </w:rPr>
        <w:t xml:space="preserve">Instancias que igualan o mejoran el oficial: </w:t>
      </w:r>
      <w:r>
        <w:t>0/20</w:t>
      </w:r>
    </w:p>
    <w:p>
      <w:r>
        <w:rPr>
          <w:b/>
        </w:rPr>
        <w:t xml:space="preserve">Nota: </w:t>
      </w:r>
      <w:r>
        <w:rPr>
          <w:i/>
        </w:rPr>
        <w:t>este documento no contiene ningún valor inventado. Las celdas «pendiente» y «[rellenar]» se sustituirán automáticamente al regenerar el documento con los datos reales.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