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579C"/>
        </w:rPr>
        <w:t>Comparación con los resultados oficiales del IHTC 2024</w:t>
      </w:r>
    </w:p>
    <w:p>
      <w:r>
        <w:rPr>
          <w:i/>
        </w:rPr>
        <w:t>Resultados de la propuesta bajo reglas de competición (1 hilo, tope 600 s) frente a los mejores resultados publicados.</w:t>
      </w:r>
    </w:p>
    <w:p>
      <w:pPr>
        <w:pStyle w:val="Heading1"/>
      </w:pPr>
      <w:r>
        <w:t>1. Estado de los datos</w:t>
      </w:r>
    </w:p>
    <w:p>
      <w:pPr>
        <w:pStyle w:val="ListBullet"/>
      </w:pPr>
      <w:r>
        <w:rPr>
          <w:b/>
        </w:rPr>
        <w:t xml:space="preserve">Resultados propios (reglas de competición): </w:t>
      </w:r>
      <w:r>
        <w:t>PENDIENTES. Ejecuta «python ejecutar_competicion.py» para generarlos.</w:t>
      </w:r>
    </w:p>
    <w:p>
      <w:pPr>
        <w:pStyle w:val="ListBullet"/>
      </w:pPr>
      <w:r>
        <w:rPr>
          <w:b/>
        </w:rPr>
        <w:t xml:space="preserve">Resultados oficiales IHTC 2024: </w:t>
      </w:r>
      <w:r>
        <w:t>PENDIENTES. Rellena «resultados_oficiales.json» con los costes oficiales.</w:t>
      </w:r>
    </w:p>
    <w:p>
      <w:pPr>
        <w:pStyle w:val="Heading1"/>
      </w:pPr>
      <w:r>
        <w:t>2. Comparación por instancia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2E57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</w:t>
            </w:r>
          </w:p>
        </w:tc>
        <w:tc>
          <w:tcPr>
            <w:tcW w:type="dxa" w:w="1234"/>
            <w:shd w:val="clear" w:fill="2E57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Nuestro coste</w:t>
              <w:br/>
              <w:t>(reglas)</w:t>
            </w:r>
          </w:p>
        </w:tc>
        <w:tc>
          <w:tcPr>
            <w:tcW w:type="dxa" w:w="1234"/>
            <w:shd w:val="clear" w:fill="2E57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Violac.</w:t>
            </w:r>
          </w:p>
        </w:tc>
        <w:tc>
          <w:tcPr>
            <w:tcW w:type="dxa" w:w="1234"/>
            <w:shd w:val="clear" w:fill="2E57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 (s)</w:t>
            </w:r>
          </w:p>
        </w:tc>
        <w:tc>
          <w:tcPr>
            <w:tcW w:type="dxa" w:w="1234"/>
            <w:shd w:val="clear" w:fill="2E57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Resultado</w:t>
              <w:br/>
              <w:t>oficial</w:t>
            </w:r>
          </w:p>
        </w:tc>
        <w:tc>
          <w:tcPr>
            <w:tcW w:type="dxa" w:w="1234"/>
            <w:shd w:val="clear" w:fill="2E57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 %</w:t>
            </w:r>
          </w:p>
        </w:tc>
        <w:tc>
          <w:tcPr>
            <w:tcW w:type="dxa" w:w="1234"/>
            <w:shd w:val="clear" w:fill="2E57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Fuente oficial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i01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[rellenar]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i02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[rellenar]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i03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[rellenar]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i04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[rellenar]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i05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[rellenar]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i06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[rellenar]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i07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[rellenar]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i08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[rellenar]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i09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[rellenar]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i10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[rellenar]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i11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[rellenar]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i12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[rellenar]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i13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[rellenar]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i14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[rellenar]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i15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[rellenar]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i16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[rellenar]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i17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[rellenar]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i18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[rellenar]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i19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[rellenar]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i20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[rellenar]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i21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[rellenar]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i22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[rellenar]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i23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[rellenar]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i24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[rellenar]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i25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[rellenar]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i26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[rellenar]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i27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[rellenar]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i28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[rellenar]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i29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[rellenar]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i30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[rellenar]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3. Resumen</w:t>
      </w:r>
    </w:p>
    <w:p>
      <w:r>
        <w:rPr>
          <w:b/>
        </w:rPr>
        <w:t xml:space="preserve">Resumen pendiente: </w:t>
      </w:r>
      <w:r>
        <w:rPr>
          <w:i/>
        </w:rPr>
        <w:t>se completará automáticamente cuando estén disponibles nuestros resultados bajo reglas (ejecutar_competicion.py) y los resultados oficiales (resultados_oficiales.json).</w:t>
      </w:r>
    </w:p>
    <w:p>
      <w:r>
        <w:rPr>
          <w:b/>
        </w:rPr>
        <w:t xml:space="preserve">Nota: </w:t>
      </w:r>
      <w:r>
        <w:rPr>
          <w:i/>
        </w:rPr>
        <w:t>este documento no contiene ningún valor inventado. Las celdas «pendiente» y «[rellenar]» se sustituirán automáticamente al regenerar el documento con los datos reales.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