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579C"/>
        </w:rPr>
        <w:t>Comparación PRELIMINAR con los resultados oficiales del IHTC 2024</w:t>
      </w:r>
    </w:p>
    <w:p>
      <w:r>
        <w:rPr>
          <w:i/>
        </w:rPr>
        <w:t>Resultados de la propuesta en condiciones ampliadas (8 hilos, sin limite estricto) frente al mejor resultado por instancia publicado por los participantes (reglas oficiales: 10 min y máximo 4 hilos).</w:t>
      </w:r>
    </w:p>
    <w:p>
      <w:r>
        <w:rPr>
          <w:b/>
          <w:color w:val="C00000"/>
        </w:rPr>
        <w:t>⚠ COMPARACIÓN PRELIMINAR / OPTIMISTA: nuestros resultados se obtuvieron en CONDICIONES AMPLIADAS (8 hilos y sin límite estricto de tiempo), superiores a las de competición. Los gaps mostrados son por tanto una COTA INFERIOR del gap real; bajo reglas estrictas (4 hilos, 600 s) el gap será mayor. Para la comparación homologable, ejecutar «ejecutar_competicion.py» y regenerar.</w:t>
      </w:r>
    </w:p>
    <w:p>
      <w:pPr>
        <w:pStyle w:val="Heading1"/>
      </w:pPr>
      <w:r>
        <w:t>1. Estado de los datos</w:t>
      </w:r>
    </w:p>
    <w:p>
      <w:pPr>
        <w:pStyle w:val="ListBullet"/>
      </w:pPr>
      <w:r>
        <w:rPr>
          <w:b/>
        </w:rPr>
        <w:t xml:space="preserve">Resultados propios (condiciones ampliadas (8 hilos, sin limite estricto)): </w:t>
      </w:r>
      <w:r>
        <w:t>disponibles (30/30 resueltas).</w:t>
      </w:r>
    </w:p>
    <w:p>
      <w:pPr>
        <w:pStyle w:val="ListBullet"/>
      </w:pPr>
      <w:r>
        <w:rPr>
          <w:b/>
        </w:rPr>
        <w:t xml:space="preserve">Resultados oficiales IHTC 2024: </w:t>
      </w:r>
      <w:r>
        <w:t>cargados para 30/30 instancias desde resultados_oficiales.json.</w:t>
      </w:r>
    </w:p>
    <w:p>
      <w:pPr>
        <w:pStyle w:val="Heading1"/>
      </w:pPr>
      <w:r>
        <w:t>2. Comparación por instancia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Nuestro coste</w:t>
              <w:br/>
              <w:t>(reglas)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Violac.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 (s)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Resultado</w:t>
              <w:br/>
              <w:t>oficial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 %</w:t>
            </w:r>
          </w:p>
        </w:tc>
        <w:tc>
          <w:tcPr>
            <w:tcW w:type="dxa" w:w="1234"/>
            <w:shd w:val="clear" w:fill="2E579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Fuente oficial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4.104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3.842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+6.8%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1.778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1.264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+40.7%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10.695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10.490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+2.0%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2.224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1.884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+18.0%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13.293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12.760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+4.2%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10.743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10.671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+0.7%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6.016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5.026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+19.7%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11.934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6.291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+89.7%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i09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8.954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6.682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+34.0%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26.185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549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20.820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+25.8%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26.050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25.938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+0.4%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13.964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12.430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+12.3%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20.545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17.328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+18.6%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10.661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9.746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+9.4%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15.123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12.486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+21.1%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14.378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10.139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+41.8%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56.540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40.535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+39.5%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37.998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37.660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+0.9%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i19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57.509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44.587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+29.0%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35.486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755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29.098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+22.0%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30.204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1031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24.703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+22.3%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76.198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974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47.861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+59.2%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45.618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37.550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+21.5%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33.954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207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33.221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+2.2%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13.605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11.517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+18.1%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77.642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927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64.613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+20.2%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88.674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977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51.828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color w:val="C00000"/>
                <w:sz w:val="18"/>
              </w:rPr>
              <w:t>+71.1%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i28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77.083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181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75.172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+2.5%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/>
                <w:sz w:val="18"/>
              </w:rPr>
              <w:t>15.357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12.475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+23.1%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  <w:tr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i30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42.170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216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37.943</w:t>
            </w:r>
          </w:p>
        </w:tc>
        <w:tc>
          <w:tcPr>
            <w:tcW w:type="dxa" w:w="1234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+11.1%</w:t>
            </w:r>
          </w:p>
        </w:tc>
        <w:tc>
          <w:tcPr>
            <w:tcW w:type="dxa" w:w="1234"/>
            <w:shd w:val="clear" w:fill="F2F2F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IHTC2024 public</w:t>
            </w:r>
          </w:p>
        </w:tc>
      </w:tr>
    </w:tbl>
    <w:p>
      <w:pPr>
        <w:pStyle w:val="Heading1"/>
      </w:pPr>
      <w:r>
        <w:t>3. Resumen</w:t>
      </w:r>
    </w:p>
    <w:p>
      <w:pPr>
        <w:pStyle w:val="ListBullet"/>
      </w:pPr>
      <w:r>
        <w:rPr>
          <w:b/>
        </w:rPr>
        <w:t xml:space="preserve">Gap medio vs oficial: </w:t>
      </w:r>
      <w:r>
        <w:t>+22.93%  (sobre 30 instancias con dato oficial)</w:t>
      </w:r>
    </w:p>
    <w:p>
      <w:pPr>
        <w:pStyle w:val="ListBullet"/>
      </w:pPr>
      <w:r>
        <w:rPr>
          <w:b/>
        </w:rPr>
        <w:t xml:space="preserve">Gap mínimo / máximo: </w:t>
      </w:r>
      <w:r>
        <w:t>+0.4% / +89.7%</w:t>
      </w:r>
    </w:p>
    <w:p>
      <w:pPr>
        <w:pStyle w:val="ListBullet"/>
      </w:pPr>
      <w:r>
        <w:rPr>
          <w:b/>
        </w:rPr>
        <w:t xml:space="preserve">Instancias que igualan o mejoran el oficial: </w:t>
      </w:r>
      <w:r>
        <w:t>0/30</w:t>
      </w:r>
    </w:p>
    <w:p>
      <w:r>
        <w:rPr>
          <w:b/>
        </w:rPr>
        <w:t xml:space="preserve">Nota: </w:t>
      </w:r>
      <w:r>
        <w:rPr>
          <w:i/>
        </w:rPr>
        <w:t>este documento no contiene ningún valor inventado. Las celdas «pendiente» y «[rellenar]» se sustituirán automáticamente al regenerar el documento con los datos reales.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