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tabela categories; (3 atri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id bigint (P);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name varchar(100); (not null, unique)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desc 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tabela products: (4 a 6 atributos)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id bigint (P);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name varchar(100); (not null, unique)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- desc text;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- category_id(FK) bigint; (not null)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- user_id(FK) biting; (not null)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price decimal(8,2); (not null)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 image_url varchar(255);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tabela users: (livre atributos)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- id(P) bigint;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- CPF varchar(11); (unique)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 CNPJ varchar(14); (unique)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 CEP varchar(8); (not null)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name varchar(100); (not null)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about text;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gender varchar(100);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ethnicity varchar(100);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born date;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image_url varchar(255);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type varchar(50); (not null)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email varchar(100); (not null, unique)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password varchar(255); (not null)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created_at timestamp;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legenda: </w:t>
        <w:br w:type="textWrapping"/>
        <w:t xml:space="preserve">(P) - primary key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(FK) - Foreign key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Relatório: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Participantes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Angela Nascimento de Araújo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Flávia Camila da Silva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Giovanni de almeida martins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Jorge Limin Miranda Chan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Lilian de Almeida Santos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Marlon Oliveira Santos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Vinicius Bastos Clemente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Motivo dos atributos: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Tabela categoria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id(P) &gt; identificar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name &gt; identificar a categoria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desc &gt; descrever brevemente sobre a categoria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Tabela category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- id(P) &gt; identificar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- name &gt; identificar o usuário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- desc &gt; descrever brevemente sobre o produto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- category_id(FK) &gt; conectar este com a tabela de category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- user_id(FK) &gt; conectar este com a tabela de user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- price &gt; para ser visto através do front-end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- image_url &gt; para melhorar a experiência do usuário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color w:val="ff0000"/>
          <w:rtl w:val="0"/>
        </w:rPr>
        <w:t xml:space="preserve">Tabela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id(P) &gt; identificar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CPF (unique) &gt; identificar se o usuário é válido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CNPJ (unique) &gt; identificar se a empresa é válida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CEP (not null) &gt; identificar a localização para formulação do frete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name (not null) &gt; identificar a empresa ou usuário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about &gt; informações sobre a empresa ou usuário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gender &gt; mostrar informações pessoais do usuário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ethnicity &gt; mostrar informações pessoais do usuário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born &gt; mostrar informações pessoais do usuário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image_url &gt; mostrar a imagem do produto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type (not null) &gt; separar as categorias (empresa, usuário ou admin)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email (not null, unique) &gt; meio de contato com a pessoa cadastrada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password (not null) &gt; meio de segurança para acesso a plataforma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created_at &gt; mostrar o tempo de registro do usuário, trará mais confiança aos compradores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