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A0468" w14:textId="77777777" w:rsidR="006862E6" w:rsidRPr="006862E6" w:rsidRDefault="006862E6" w:rsidP="006862E6">
      <w:pPr>
        <w:spacing w:before="100" w:beforeAutospacing="1" w:after="100" w:afterAutospacing="1" w:line="240" w:lineRule="auto"/>
        <w:outlineLvl w:val="0"/>
        <w:rPr>
          <w:rFonts w:ascii="TH Sarabun New" w:eastAsia="Times New Roman" w:hAnsi="TH Sarabun New" w:cs="TH Sarabun New" w:hint="cs"/>
          <w:b/>
          <w:bCs/>
          <w:kern w:val="36"/>
          <w:sz w:val="48"/>
          <w:szCs w:val="48"/>
          <w14:ligatures w14:val="none"/>
        </w:rPr>
      </w:pPr>
      <w:r w:rsidRPr="006862E6">
        <w:rPr>
          <w:rFonts w:ascii="TH Sarabun New" w:eastAsia="Times New Roman" w:hAnsi="TH Sarabun New" w:cs="TH Sarabun New" w:hint="cs"/>
          <w:b/>
          <w:bCs/>
          <w:kern w:val="36"/>
          <w:sz w:val="48"/>
          <w:szCs w:val="48"/>
          <w14:ligatures w14:val="none"/>
        </w:rPr>
        <w:t>Modern Portfolio Theory: A Structured Synthesis for Artificial Intelligence</w:t>
      </w:r>
    </w:p>
    <w:p w14:paraId="01F7EC2B" w14:textId="77777777" w:rsidR="006862E6" w:rsidRPr="006862E6" w:rsidRDefault="006862E6" w:rsidP="006862E6">
      <w:pPr>
        <w:spacing w:before="100" w:beforeAutospacing="1" w:after="100" w:afterAutospacing="1" w:line="240" w:lineRule="auto"/>
        <w:outlineLvl w:val="1"/>
        <w:rPr>
          <w:rFonts w:ascii="TH Sarabun New" w:eastAsia="Times New Roman" w:hAnsi="TH Sarabun New" w:cs="TH Sarabun New" w:hint="cs"/>
          <w:b/>
          <w:bCs/>
          <w:kern w:val="0"/>
          <w:sz w:val="36"/>
          <w:szCs w:val="36"/>
          <w14:ligatures w14:val="none"/>
        </w:rPr>
      </w:pPr>
      <w:r w:rsidRPr="006862E6">
        <w:rPr>
          <w:rFonts w:ascii="TH Sarabun New" w:eastAsia="Times New Roman" w:hAnsi="TH Sarabun New" w:cs="TH Sarabun New" w:hint="cs"/>
          <w:b/>
          <w:bCs/>
          <w:kern w:val="0"/>
          <w:sz w:val="36"/>
          <w:szCs w:val="36"/>
          <w14:ligatures w14:val="none"/>
        </w:rPr>
        <w:t>1.0 The Foundational Paradigm Shift in Investment Management</w:t>
      </w:r>
    </w:p>
    <w:p w14:paraId="1F2BCDB1"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Before the formalization of Modern Portfolio Theory (MPT), investment management was largely an exercise in security selection based on individual merit. Portfolios were often constructed as simple collections of assets, chosen for their potential returns with little quantitative regard for their associated risks or, crucially, their interactions with one another. The strategic shift introduced by Harry Markowitz in 1952 was not merely an improvement but a complete reframing of the investment problem, moving the focus from individual security analysis to the holistic risk-return characteristics of the entire portfolio. This paradigm shift marked the dawn of financial economics and quantitative finance as formal fields of study.</w:t>
      </w:r>
    </w:p>
    <w:p w14:paraId="6E7ECF40"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The development of MPT was driven by a group of pioneers whose contributions collectively built the framework that defines quantitative investment management today. The most significant of these figures and their core contributions are detailed below.</w:t>
      </w:r>
    </w:p>
    <w:tbl>
      <w:tblPr>
        <w:tblStyle w:val="GridTable4-Accent2"/>
        <w:tblW w:w="5000" w:type="pct"/>
        <w:tblLook w:val="04A0" w:firstRow="1" w:lastRow="0" w:firstColumn="1" w:lastColumn="0" w:noHBand="0" w:noVBand="1"/>
      </w:tblPr>
      <w:tblGrid>
        <w:gridCol w:w="1306"/>
        <w:gridCol w:w="8044"/>
      </w:tblGrid>
      <w:tr w:rsidR="006862E6" w:rsidRPr="006862E6" w14:paraId="4C121AD8" w14:textId="77777777" w:rsidTr="00686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1B3D4" w14:textId="77777777" w:rsidR="006862E6" w:rsidRPr="006862E6" w:rsidRDefault="006862E6" w:rsidP="006862E6">
            <w:pPr>
              <w:spacing w:before="100" w:beforeAutospacing="1" w:after="100" w:afterAutospacing="1"/>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Pioneer</w:t>
            </w:r>
          </w:p>
        </w:tc>
        <w:tc>
          <w:tcPr>
            <w:tcW w:w="0" w:type="auto"/>
            <w:hideMark/>
          </w:tcPr>
          <w:p w14:paraId="1ABC7CF2" w14:textId="77777777" w:rsidR="006862E6" w:rsidRPr="006862E6" w:rsidRDefault="006862E6" w:rsidP="006862E6">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Contribution</w:t>
            </w:r>
          </w:p>
        </w:tc>
      </w:tr>
      <w:tr w:rsidR="006862E6" w:rsidRPr="006862E6" w14:paraId="68E77C04" w14:textId="77777777" w:rsidTr="00686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C9C85" w14:textId="77777777" w:rsidR="006862E6" w:rsidRPr="006862E6" w:rsidRDefault="006862E6" w:rsidP="006862E6">
            <w:pPr>
              <w:spacing w:before="100" w:beforeAutospacing="1" w:after="100" w:afterAutospacing="1"/>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Harry Markowitz</w:t>
            </w:r>
          </w:p>
        </w:tc>
        <w:tc>
          <w:tcPr>
            <w:tcW w:w="0" w:type="auto"/>
            <w:hideMark/>
          </w:tcPr>
          <w:p w14:paraId="2C2D822B" w14:textId="77777777" w:rsidR="006862E6" w:rsidRPr="006862E6" w:rsidRDefault="006862E6" w:rsidP="006862E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Pioneered Modern Portfolio Theory (1952), establishing the foundational concepts of mean-variance analysis and diversification.</w:t>
            </w:r>
          </w:p>
        </w:tc>
      </w:tr>
      <w:tr w:rsidR="006862E6" w:rsidRPr="006862E6" w14:paraId="2BA98D5C" w14:textId="77777777" w:rsidTr="006862E6">
        <w:tc>
          <w:tcPr>
            <w:cnfStyle w:val="001000000000" w:firstRow="0" w:lastRow="0" w:firstColumn="1" w:lastColumn="0" w:oddVBand="0" w:evenVBand="0" w:oddHBand="0" w:evenHBand="0" w:firstRowFirstColumn="0" w:firstRowLastColumn="0" w:lastRowFirstColumn="0" w:lastRowLastColumn="0"/>
            <w:tcW w:w="0" w:type="auto"/>
            <w:hideMark/>
          </w:tcPr>
          <w:p w14:paraId="138DA1D6" w14:textId="77777777" w:rsidR="006862E6" w:rsidRPr="006862E6" w:rsidRDefault="006862E6" w:rsidP="006862E6">
            <w:pPr>
              <w:spacing w:before="100" w:beforeAutospacing="1" w:after="100" w:afterAutospacing="1"/>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William Sharpe</w:t>
            </w:r>
          </w:p>
        </w:tc>
        <w:tc>
          <w:tcPr>
            <w:tcW w:w="0" w:type="auto"/>
            <w:hideMark/>
          </w:tcPr>
          <w:p w14:paraId="3B86564D" w14:textId="77777777" w:rsidR="006862E6" w:rsidRPr="006862E6" w:rsidRDefault="006862E6" w:rsidP="006862E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A protégé of Markowitz who developed a linear factor model and the Capital Asset Pricing Model (CAPM), linking portfolio selection to asset pricing.</w:t>
            </w:r>
          </w:p>
        </w:tc>
      </w:tr>
      <w:tr w:rsidR="006862E6" w:rsidRPr="006862E6" w14:paraId="50F65D4F" w14:textId="77777777" w:rsidTr="00686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0BD8B" w14:textId="77777777" w:rsidR="006862E6" w:rsidRPr="006862E6" w:rsidRDefault="006862E6" w:rsidP="006862E6">
            <w:pPr>
              <w:spacing w:before="100" w:beforeAutospacing="1" w:after="100" w:afterAutospacing="1"/>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Jack Treynor</w:t>
            </w:r>
          </w:p>
        </w:tc>
        <w:tc>
          <w:tcPr>
            <w:tcW w:w="0" w:type="auto"/>
            <w:hideMark/>
          </w:tcPr>
          <w:p w14:paraId="0B943D0A" w14:textId="77777777" w:rsidR="006862E6" w:rsidRPr="006862E6" w:rsidRDefault="006862E6" w:rsidP="006862E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Independently developed a model similar to the CAPM before Sharpe, though he never published his work.</w:t>
            </w:r>
          </w:p>
        </w:tc>
      </w:tr>
      <w:tr w:rsidR="006862E6" w:rsidRPr="006862E6" w14:paraId="52CBEB64" w14:textId="77777777" w:rsidTr="006862E6">
        <w:tc>
          <w:tcPr>
            <w:cnfStyle w:val="001000000000" w:firstRow="0" w:lastRow="0" w:firstColumn="1" w:lastColumn="0" w:oddVBand="0" w:evenVBand="0" w:oddHBand="0" w:evenHBand="0" w:firstRowFirstColumn="0" w:firstRowLastColumn="0" w:lastRowFirstColumn="0" w:lastRowLastColumn="0"/>
            <w:tcW w:w="0" w:type="auto"/>
            <w:hideMark/>
          </w:tcPr>
          <w:p w14:paraId="16666DC7" w14:textId="77777777" w:rsidR="006862E6" w:rsidRPr="006862E6" w:rsidRDefault="006862E6" w:rsidP="006862E6">
            <w:pPr>
              <w:spacing w:before="100" w:beforeAutospacing="1" w:after="100" w:afterAutospacing="1"/>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John Lintner</w:t>
            </w:r>
          </w:p>
        </w:tc>
        <w:tc>
          <w:tcPr>
            <w:tcW w:w="0" w:type="auto"/>
            <w:hideMark/>
          </w:tcPr>
          <w:p w14:paraId="728E291B" w14:textId="77777777" w:rsidR="006862E6" w:rsidRPr="006862E6" w:rsidRDefault="006862E6" w:rsidP="006862E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An early contributor who, along with Mossin, helped develop the CAPM.</w:t>
            </w:r>
          </w:p>
        </w:tc>
      </w:tr>
      <w:tr w:rsidR="006862E6" w:rsidRPr="006862E6" w14:paraId="1A90C974" w14:textId="77777777" w:rsidTr="00686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23B75" w14:textId="77777777" w:rsidR="006862E6" w:rsidRPr="006862E6" w:rsidRDefault="006862E6" w:rsidP="006862E6">
            <w:pPr>
              <w:spacing w:before="100" w:beforeAutospacing="1" w:after="100" w:afterAutospacing="1"/>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Jan Mossin</w:t>
            </w:r>
          </w:p>
        </w:tc>
        <w:tc>
          <w:tcPr>
            <w:tcW w:w="0" w:type="auto"/>
            <w:hideMark/>
          </w:tcPr>
          <w:p w14:paraId="7A7FF96D" w14:textId="77777777" w:rsidR="006862E6" w:rsidRPr="006862E6" w:rsidRDefault="006862E6" w:rsidP="006862E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An early contributor who, along with Lintner, helped develop the CAPM.</w:t>
            </w:r>
          </w:p>
        </w:tc>
      </w:tr>
      <w:tr w:rsidR="006862E6" w:rsidRPr="006862E6" w14:paraId="6F511FD8" w14:textId="77777777" w:rsidTr="006862E6">
        <w:tc>
          <w:tcPr>
            <w:cnfStyle w:val="001000000000" w:firstRow="0" w:lastRow="0" w:firstColumn="1" w:lastColumn="0" w:oddVBand="0" w:evenVBand="0" w:oddHBand="0" w:evenHBand="0" w:firstRowFirstColumn="0" w:firstRowLastColumn="0" w:lastRowFirstColumn="0" w:lastRowLastColumn="0"/>
            <w:tcW w:w="0" w:type="auto"/>
            <w:hideMark/>
          </w:tcPr>
          <w:p w14:paraId="3F8D2E8C" w14:textId="77777777" w:rsidR="006862E6" w:rsidRPr="006862E6" w:rsidRDefault="006862E6" w:rsidP="006862E6">
            <w:pPr>
              <w:spacing w:before="100" w:beforeAutospacing="1" w:after="100" w:afterAutospacing="1"/>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Fisher Black</w:t>
            </w:r>
          </w:p>
        </w:tc>
        <w:tc>
          <w:tcPr>
            <w:tcW w:w="0" w:type="auto"/>
            <w:hideMark/>
          </w:tcPr>
          <w:p w14:paraId="263F8EAC" w14:textId="77777777" w:rsidR="006862E6" w:rsidRPr="006862E6" w:rsidRDefault="006862E6" w:rsidP="006862E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Made significant contributions to MPT and was instrumental in applying its ideas to the world of option pricing.</w:t>
            </w:r>
          </w:p>
        </w:tc>
      </w:tr>
    </w:tbl>
    <w:p w14:paraId="163F86A0"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For their transformative work, Harry Markowitz and William Sharpe were awarded the Nobel Prize in Economics in 1990. At the heart of their revolution were two core principles that Markowitz articulated with mathematical precision:</w:t>
      </w:r>
    </w:p>
    <w:p w14:paraId="1E1C63D8" w14:textId="77777777" w:rsidR="006862E6" w:rsidRPr="006862E6" w:rsidRDefault="006862E6" w:rsidP="006862E6">
      <w:pPr>
        <w:numPr>
          <w:ilvl w:val="0"/>
          <w:numId w:val="1"/>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The Risk-Return Trade-Off:</w:t>
      </w:r>
      <w:r w:rsidRPr="006862E6">
        <w:rPr>
          <w:rFonts w:ascii="TH Sarabun New" w:eastAsia="Times New Roman" w:hAnsi="TH Sarabun New" w:cs="TH Sarabun New" w:hint="cs"/>
          <w:kern w:val="0"/>
          <w:szCs w:val="24"/>
          <w14:ligatures w14:val="none"/>
        </w:rPr>
        <w:t xml:space="preserve"> The fundamental idea that to achieve higher returns, an investor must be willing to accept a greater level of risk. Markowitz formalized the measurement of these two dimensions, allowing for their explicit consideration in portfolio construction.</w:t>
      </w:r>
    </w:p>
    <w:p w14:paraId="422F2664" w14:textId="77777777" w:rsidR="006862E6" w:rsidRPr="006862E6" w:rsidRDefault="006862E6" w:rsidP="006862E6">
      <w:pPr>
        <w:numPr>
          <w:ilvl w:val="0"/>
          <w:numId w:val="1"/>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Diversification through Correlation:</w:t>
      </w:r>
      <w:r w:rsidRPr="006862E6">
        <w:rPr>
          <w:rFonts w:ascii="TH Sarabun New" w:eastAsia="Times New Roman" w:hAnsi="TH Sarabun New" w:cs="TH Sarabun New" w:hint="cs"/>
          <w:kern w:val="0"/>
          <w:szCs w:val="24"/>
          <w14:ligatures w14:val="none"/>
        </w:rPr>
        <w:t xml:space="preserve"> While the old investment adage advised, </w:t>
      </w:r>
      <w:r w:rsidRPr="006862E6">
        <w:rPr>
          <w:rFonts w:ascii="TH Sarabun New" w:eastAsia="Times New Roman" w:hAnsi="TH Sarabun New" w:cs="TH Sarabun New" w:hint="cs"/>
          <w:i/>
          <w:iCs/>
          <w:kern w:val="0"/>
          <w:szCs w:val="24"/>
          <w14:ligatures w14:val="none"/>
        </w:rPr>
        <w:t>"Don’t put all your eggs in the same basket,"</w:t>
      </w:r>
      <w:r w:rsidRPr="006862E6">
        <w:rPr>
          <w:rFonts w:ascii="TH Sarabun New" w:eastAsia="Times New Roman" w:hAnsi="TH Sarabun New" w:cs="TH Sarabun New" w:hint="cs"/>
          <w:kern w:val="0"/>
          <w:szCs w:val="24"/>
          <w14:ligatures w14:val="none"/>
        </w:rPr>
        <w:t xml:space="preserve"> it lacked a formal mechanism for </w:t>
      </w:r>
      <w:r w:rsidRPr="006862E6">
        <w:rPr>
          <w:rFonts w:ascii="TH Sarabun New" w:eastAsia="Times New Roman" w:hAnsi="TH Sarabun New" w:cs="TH Sarabun New" w:hint="cs"/>
          <w:i/>
          <w:iCs/>
          <w:kern w:val="0"/>
          <w:szCs w:val="24"/>
          <w14:ligatures w14:val="none"/>
        </w:rPr>
        <w:t>how</w:t>
      </w:r>
      <w:r w:rsidRPr="006862E6">
        <w:rPr>
          <w:rFonts w:ascii="TH Sarabun New" w:eastAsia="Times New Roman" w:hAnsi="TH Sarabun New" w:cs="TH Sarabun New" w:hint="cs"/>
          <w:kern w:val="0"/>
          <w:szCs w:val="24"/>
          <w14:ligatures w14:val="none"/>
        </w:rPr>
        <w:t xml:space="preserve"> to do so effectively. Markowitz demonstrated that the benefits of diversification are not simply a function of the number of assets, but are critically dependent on the correlation of </w:t>
      </w:r>
      <w:r w:rsidRPr="006862E6">
        <w:rPr>
          <w:rFonts w:ascii="TH Sarabun New" w:eastAsia="Times New Roman" w:hAnsi="TH Sarabun New" w:cs="TH Sarabun New" w:hint="cs"/>
          <w:kern w:val="0"/>
          <w:szCs w:val="24"/>
          <w14:ligatures w14:val="none"/>
        </w:rPr>
        <w:lastRenderedPageBreak/>
        <w:t>their returns. By combining assets whose returns do not move in perfect unison, the overall risk of the portfolio can be systematically reduced.</w:t>
      </w:r>
    </w:p>
    <w:p w14:paraId="25E0AAC3"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These principles established the vocabulary and mathematical structure for portfolio management. The following sections will detail the specific assumptions and definitions that underpin this powerful framework.</w:t>
      </w:r>
    </w:p>
    <w:p w14:paraId="3703CBEA" w14:textId="77777777" w:rsidR="006862E6" w:rsidRPr="006862E6" w:rsidRDefault="006862E6" w:rsidP="006862E6">
      <w:pPr>
        <w:spacing w:before="100" w:beforeAutospacing="1" w:after="100" w:afterAutospacing="1" w:line="240" w:lineRule="auto"/>
        <w:outlineLvl w:val="1"/>
        <w:rPr>
          <w:rFonts w:ascii="TH Sarabun New" w:eastAsia="Times New Roman" w:hAnsi="TH Sarabun New" w:cs="TH Sarabun New" w:hint="cs"/>
          <w:b/>
          <w:bCs/>
          <w:kern w:val="0"/>
          <w:sz w:val="36"/>
          <w:szCs w:val="36"/>
          <w14:ligatures w14:val="none"/>
        </w:rPr>
      </w:pPr>
      <w:r w:rsidRPr="006862E6">
        <w:rPr>
          <w:rFonts w:ascii="TH Sarabun New" w:eastAsia="Times New Roman" w:hAnsi="TH Sarabun New" w:cs="TH Sarabun New" w:hint="cs"/>
          <w:b/>
          <w:bCs/>
          <w:kern w:val="0"/>
          <w:sz w:val="36"/>
          <w:szCs w:val="36"/>
          <w14:ligatures w14:val="none"/>
        </w:rPr>
        <w:t>2.0 Core Axioms and Mathematical Framework</w:t>
      </w:r>
    </w:p>
    <w:p w14:paraId="27B29804"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To move from conceptual principles to a testable and applicable theory, Modern Portfolio Theory required a formal mathematical setting. This framework provides a rigorous environment for analyzing risk and return by operating on a set of clearly defined assumptions and variables.</w:t>
      </w:r>
    </w:p>
    <w:p w14:paraId="097E9A49"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 xml:space="preserve">The investment environment is modeled as a </w:t>
      </w:r>
      <w:r w:rsidRPr="006862E6">
        <w:rPr>
          <w:rFonts w:ascii="TH Sarabun New" w:eastAsia="Times New Roman" w:hAnsi="TH Sarabun New" w:cs="TH Sarabun New" w:hint="cs"/>
          <w:b/>
          <w:bCs/>
          <w:kern w:val="0"/>
          <w:szCs w:val="24"/>
          <w14:ligatures w14:val="none"/>
        </w:rPr>
        <w:t>"buy and hold"</w:t>
      </w:r>
      <w:r w:rsidRPr="006862E6">
        <w:rPr>
          <w:rFonts w:ascii="TH Sarabun New" w:eastAsia="Times New Roman" w:hAnsi="TH Sarabun New" w:cs="TH Sarabun New" w:hint="cs"/>
          <w:kern w:val="0"/>
          <w:szCs w:val="24"/>
          <w14:ligatures w14:val="none"/>
        </w:rPr>
        <w:t xml:space="preserve"> scenario over a single, discrete time period </w:t>
      </w:r>
      <w:r w:rsidRPr="006862E6">
        <w:rPr>
          <w:rFonts w:ascii="TH Sarabun New" w:eastAsia="Times New Roman" w:hAnsi="TH Sarabun New" w:cs="TH Sarabun New" w:hint="cs"/>
          <w:kern w:val="0"/>
          <w:sz w:val="20"/>
          <w:szCs w:val="20"/>
          <w14:ligatures w14:val="none"/>
        </w:rPr>
        <w:t>T</w:t>
      </w:r>
      <w:r w:rsidRPr="006862E6">
        <w:rPr>
          <w:rFonts w:ascii="TH Sarabun New" w:eastAsia="Times New Roman" w:hAnsi="TH Sarabun New" w:cs="TH Sarabun New" w:hint="cs"/>
          <w:kern w:val="0"/>
          <w:szCs w:val="24"/>
          <w14:ligatures w14:val="none"/>
        </w:rPr>
        <w:t xml:space="preserve">. An investor begins with an initial amount of wealth </w:t>
      </w:r>
      <w:r w:rsidRPr="006862E6">
        <w:rPr>
          <w:rFonts w:ascii="TH Sarabun New" w:eastAsia="Times New Roman" w:hAnsi="TH Sarabun New" w:cs="TH Sarabun New" w:hint="cs"/>
          <w:kern w:val="0"/>
          <w:sz w:val="20"/>
          <w:szCs w:val="20"/>
          <w14:ligatures w14:val="none"/>
        </w:rPr>
        <w:t>W</w:t>
      </w:r>
      <w:r w:rsidRPr="006862E6">
        <w:rPr>
          <w:rFonts w:ascii="TH Sarabun New" w:eastAsia="Times New Roman" w:hAnsi="TH Sarabun New" w:cs="TH Sarabun New" w:hint="cs"/>
          <w:kern w:val="0"/>
          <w:szCs w:val="24"/>
          <w14:ligatures w14:val="none"/>
        </w:rPr>
        <w:t xml:space="preserve"> and may invest in a universe of </w:t>
      </w:r>
      <w:r w:rsidRPr="006862E6">
        <w:rPr>
          <w:rFonts w:ascii="TH Sarabun New" w:eastAsia="Times New Roman" w:hAnsi="TH Sarabun New" w:cs="TH Sarabun New" w:hint="cs"/>
          <w:kern w:val="0"/>
          <w:sz w:val="20"/>
          <w:szCs w:val="20"/>
          <w14:ligatures w14:val="none"/>
        </w:rPr>
        <w:t>N ≥ 2</w:t>
      </w:r>
      <w:r w:rsidRPr="006862E6">
        <w:rPr>
          <w:rFonts w:ascii="TH Sarabun New" w:eastAsia="Times New Roman" w:hAnsi="TH Sarabun New" w:cs="TH Sarabun New" w:hint="cs"/>
          <w:kern w:val="0"/>
          <w:szCs w:val="24"/>
          <w14:ligatures w14:val="none"/>
        </w:rPr>
        <w:t xml:space="preserve"> tradable assets.</w:t>
      </w:r>
    </w:p>
    <w:p w14:paraId="58F1AB46"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The theory defines "assets" in the broadest possible sense, encompassing all tradable instruments, including:</w:t>
      </w:r>
    </w:p>
    <w:p w14:paraId="4A448494" w14:textId="77777777" w:rsidR="006862E6" w:rsidRPr="006862E6" w:rsidRDefault="006862E6" w:rsidP="006862E6">
      <w:pPr>
        <w:numPr>
          <w:ilvl w:val="0"/>
          <w:numId w:val="2"/>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Financial Assets:</w:t>
      </w:r>
      <w:r w:rsidRPr="006862E6">
        <w:rPr>
          <w:rFonts w:ascii="TH Sarabun New" w:eastAsia="Times New Roman" w:hAnsi="TH Sarabun New" w:cs="TH Sarabun New" w:hint="cs"/>
          <w:kern w:val="0"/>
          <w:szCs w:val="24"/>
          <w14:ligatures w14:val="none"/>
        </w:rPr>
        <w:t xml:space="preserve"> Equity shares, bonds, currencies.</w:t>
      </w:r>
    </w:p>
    <w:p w14:paraId="419F0E0A" w14:textId="77777777" w:rsidR="006862E6" w:rsidRPr="006862E6" w:rsidRDefault="006862E6" w:rsidP="006862E6">
      <w:pPr>
        <w:numPr>
          <w:ilvl w:val="0"/>
          <w:numId w:val="2"/>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Real Assets:</w:t>
      </w:r>
      <w:r w:rsidRPr="006862E6">
        <w:rPr>
          <w:rFonts w:ascii="TH Sarabun New" w:eastAsia="Times New Roman" w:hAnsi="TH Sarabun New" w:cs="TH Sarabun New" w:hint="cs"/>
          <w:kern w:val="0"/>
          <w:szCs w:val="24"/>
          <w14:ligatures w14:val="none"/>
        </w:rPr>
        <w:t xml:space="preserve"> Commodities, real estate, fine art.</w:t>
      </w:r>
    </w:p>
    <w:p w14:paraId="0DEA5B2B" w14:textId="77777777" w:rsidR="006862E6" w:rsidRPr="006862E6" w:rsidRDefault="006862E6" w:rsidP="006862E6">
      <w:pPr>
        <w:numPr>
          <w:ilvl w:val="0"/>
          <w:numId w:val="2"/>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Intangible Assets:</w:t>
      </w:r>
      <w:r w:rsidRPr="006862E6">
        <w:rPr>
          <w:rFonts w:ascii="TH Sarabun New" w:eastAsia="Times New Roman" w:hAnsi="TH Sarabun New" w:cs="TH Sarabun New" w:hint="cs"/>
          <w:kern w:val="0"/>
          <w:szCs w:val="24"/>
          <w14:ligatures w14:val="none"/>
        </w:rPr>
        <w:t xml:space="preserve"> Labor income. In practice, however, most portfolio managers confine their analysis to a single asset class, such as U.K. equities or U.S. bonds.</w:t>
      </w:r>
    </w:p>
    <w:p w14:paraId="72B849AC"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The central assumption of MPT is that all risky assets can be fully characterized by three key statistics:</w:t>
      </w:r>
    </w:p>
    <w:p w14:paraId="22EF4F83" w14:textId="77777777" w:rsidR="006862E6" w:rsidRPr="006862E6" w:rsidRDefault="006862E6" w:rsidP="006862E6">
      <w:pPr>
        <w:numPr>
          <w:ilvl w:val="0"/>
          <w:numId w:val="3"/>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Expected Return (</w:t>
      </w:r>
      <w:r w:rsidRPr="006862E6">
        <w:rPr>
          <w:rFonts w:ascii="Calibri" w:eastAsia="Times New Roman" w:hAnsi="Calibri" w:cs="Calibri"/>
          <w:b/>
          <w:bCs/>
          <w:kern w:val="0"/>
          <w:szCs w:val="24"/>
          <w14:ligatures w14:val="none"/>
        </w:rPr>
        <w:t>μ</w:t>
      </w:r>
      <w:r w:rsidRPr="006862E6">
        <w:rPr>
          <w:rFonts w:ascii="TH Sarabun New" w:eastAsia="Times New Roman" w:hAnsi="TH Sarabun New" w:cs="TH Sarabun New" w:hint="cs"/>
          <w:b/>
          <w:bCs/>
          <w:kern w:val="0"/>
          <w:szCs w:val="24"/>
          <w14:ligatures w14:val="none"/>
        </w:rPr>
        <w:t>i):</w:t>
      </w:r>
      <w:r w:rsidRPr="006862E6">
        <w:rPr>
          <w:rFonts w:ascii="TH Sarabun New" w:eastAsia="Times New Roman" w:hAnsi="TH Sarabun New" w:cs="TH Sarabun New" w:hint="cs"/>
          <w:kern w:val="0"/>
          <w:szCs w:val="24"/>
          <w14:ligatures w14:val="none"/>
        </w:rPr>
        <w:t xml:space="preserve"> The anticipated mean return of asset </w:t>
      </w:r>
      <w:r w:rsidRPr="006862E6">
        <w:rPr>
          <w:rFonts w:ascii="TH Sarabun New" w:eastAsia="Times New Roman" w:hAnsi="TH Sarabun New" w:cs="TH Sarabun New" w:hint="cs"/>
          <w:i/>
          <w:iCs/>
          <w:kern w:val="0"/>
          <w:szCs w:val="24"/>
          <w14:ligatures w14:val="none"/>
        </w:rPr>
        <w:t>i</w:t>
      </w:r>
      <w:r w:rsidRPr="006862E6">
        <w:rPr>
          <w:rFonts w:ascii="TH Sarabun New" w:eastAsia="Times New Roman" w:hAnsi="TH Sarabun New" w:cs="TH Sarabun New" w:hint="cs"/>
          <w:kern w:val="0"/>
          <w:szCs w:val="24"/>
          <w14:ligatures w14:val="none"/>
        </w:rPr>
        <w:t>.</w:t>
      </w:r>
    </w:p>
    <w:p w14:paraId="51CA0A03" w14:textId="77777777" w:rsidR="006862E6" w:rsidRPr="006862E6" w:rsidRDefault="006862E6" w:rsidP="006862E6">
      <w:pPr>
        <w:numPr>
          <w:ilvl w:val="0"/>
          <w:numId w:val="3"/>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Standard Deviation of Returns (</w:t>
      </w:r>
      <w:r w:rsidRPr="006862E6">
        <w:rPr>
          <w:rFonts w:ascii="Calibri" w:eastAsia="Times New Roman" w:hAnsi="Calibri" w:cs="Calibri"/>
          <w:b/>
          <w:bCs/>
          <w:kern w:val="0"/>
          <w:szCs w:val="24"/>
          <w14:ligatures w14:val="none"/>
        </w:rPr>
        <w:t>σ</w:t>
      </w:r>
      <w:r w:rsidRPr="006862E6">
        <w:rPr>
          <w:rFonts w:ascii="TH Sarabun New" w:eastAsia="Times New Roman" w:hAnsi="TH Sarabun New" w:cs="TH Sarabun New" w:hint="cs"/>
          <w:b/>
          <w:bCs/>
          <w:kern w:val="0"/>
          <w:szCs w:val="24"/>
          <w14:ligatures w14:val="none"/>
        </w:rPr>
        <w:t>i):</w:t>
      </w:r>
      <w:r w:rsidRPr="006862E6">
        <w:rPr>
          <w:rFonts w:ascii="TH Sarabun New" w:eastAsia="Times New Roman" w:hAnsi="TH Sarabun New" w:cs="TH Sarabun New" w:hint="cs"/>
          <w:kern w:val="0"/>
          <w:szCs w:val="24"/>
          <w14:ligatures w14:val="none"/>
        </w:rPr>
        <w:t xml:space="preserve"> A measure of the volatility or total risk of asset </w:t>
      </w:r>
      <w:r w:rsidRPr="006862E6">
        <w:rPr>
          <w:rFonts w:ascii="TH Sarabun New" w:eastAsia="Times New Roman" w:hAnsi="TH Sarabun New" w:cs="TH Sarabun New" w:hint="cs"/>
          <w:i/>
          <w:iCs/>
          <w:kern w:val="0"/>
          <w:szCs w:val="24"/>
          <w14:ligatures w14:val="none"/>
        </w:rPr>
        <w:t>i</w:t>
      </w:r>
      <w:r w:rsidRPr="006862E6">
        <w:rPr>
          <w:rFonts w:ascii="TH Sarabun New" w:eastAsia="Times New Roman" w:hAnsi="TH Sarabun New" w:cs="TH Sarabun New" w:hint="cs"/>
          <w:kern w:val="0"/>
          <w:szCs w:val="24"/>
          <w14:ligatures w14:val="none"/>
        </w:rPr>
        <w:t>.</w:t>
      </w:r>
    </w:p>
    <w:p w14:paraId="4EEF027C" w14:textId="77777777" w:rsidR="006862E6" w:rsidRPr="006862E6" w:rsidRDefault="006862E6" w:rsidP="006862E6">
      <w:pPr>
        <w:numPr>
          <w:ilvl w:val="0"/>
          <w:numId w:val="3"/>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Correlation of Returns (</w:t>
      </w:r>
      <w:r w:rsidRPr="006862E6">
        <w:rPr>
          <w:rFonts w:ascii="Calibri" w:eastAsia="Times New Roman" w:hAnsi="Calibri" w:cs="Calibri"/>
          <w:b/>
          <w:bCs/>
          <w:kern w:val="0"/>
          <w:szCs w:val="24"/>
          <w14:ligatures w14:val="none"/>
        </w:rPr>
        <w:t>ρ</w:t>
      </w:r>
      <w:r w:rsidRPr="006862E6">
        <w:rPr>
          <w:rFonts w:ascii="TH Sarabun New" w:eastAsia="Times New Roman" w:hAnsi="TH Sarabun New" w:cs="TH Sarabun New" w:hint="cs"/>
          <w:b/>
          <w:bCs/>
          <w:kern w:val="0"/>
          <w:szCs w:val="24"/>
          <w14:ligatures w14:val="none"/>
        </w:rPr>
        <w:t>ij):</w:t>
      </w:r>
      <w:r w:rsidRPr="006862E6">
        <w:rPr>
          <w:rFonts w:ascii="TH Sarabun New" w:eastAsia="Times New Roman" w:hAnsi="TH Sarabun New" w:cs="TH Sarabun New" w:hint="cs"/>
          <w:kern w:val="0"/>
          <w:szCs w:val="24"/>
          <w14:ligatures w14:val="none"/>
        </w:rPr>
        <w:t xml:space="preserve"> A measure of how the return of asset </w:t>
      </w:r>
      <w:r w:rsidRPr="006862E6">
        <w:rPr>
          <w:rFonts w:ascii="TH Sarabun New" w:eastAsia="Times New Roman" w:hAnsi="TH Sarabun New" w:cs="TH Sarabun New" w:hint="cs"/>
          <w:i/>
          <w:iCs/>
          <w:kern w:val="0"/>
          <w:szCs w:val="24"/>
          <w14:ligatures w14:val="none"/>
        </w:rPr>
        <w:t>i</w:t>
      </w:r>
      <w:r w:rsidRPr="006862E6">
        <w:rPr>
          <w:rFonts w:ascii="TH Sarabun New" w:eastAsia="Times New Roman" w:hAnsi="TH Sarabun New" w:cs="TH Sarabun New" w:hint="cs"/>
          <w:kern w:val="0"/>
          <w:szCs w:val="24"/>
          <w14:ligatures w14:val="none"/>
        </w:rPr>
        <w:t xml:space="preserve"> moves in relation to the return of asset </w:t>
      </w:r>
      <w:r w:rsidRPr="006862E6">
        <w:rPr>
          <w:rFonts w:ascii="TH Sarabun New" w:eastAsia="Times New Roman" w:hAnsi="TH Sarabun New" w:cs="TH Sarabun New" w:hint="cs"/>
          <w:i/>
          <w:iCs/>
          <w:kern w:val="0"/>
          <w:szCs w:val="24"/>
          <w14:ligatures w14:val="none"/>
        </w:rPr>
        <w:t>j</w:t>
      </w:r>
      <w:r w:rsidRPr="006862E6">
        <w:rPr>
          <w:rFonts w:ascii="TH Sarabun New" w:eastAsia="Times New Roman" w:hAnsi="TH Sarabun New" w:cs="TH Sarabun New" w:hint="cs"/>
          <w:kern w:val="0"/>
          <w:szCs w:val="24"/>
          <w14:ligatures w14:val="none"/>
        </w:rPr>
        <w:t>.</w:t>
      </w:r>
    </w:p>
    <w:p w14:paraId="423F3061"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 xml:space="preserve">To complete the investment universe, the model introduces the concept of a </w:t>
      </w:r>
      <w:r w:rsidRPr="006862E6">
        <w:rPr>
          <w:rFonts w:ascii="TH Sarabun New" w:eastAsia="Times New Roman" w:hAnsi="TH Sarabun New" w:cs="TH Sarabun New" w:hint="cs"/>
          <w:b/>
          <w:bCs/>
          <w:kern w:val="0"/>
          <w:szCs w:val="24"/>
          <w14:ligatures w14:val="none"/>
        </w:rPr>
        <w:t>Risk-Free Asset (RFA)</w:t>
      </w:r>
      <w:r w:rsidRPr="006862E6">
        <w:rPr>
          <w:rFonts w:ascii="TH Sarabun New" w:eastAsia="Times New Roman" w:hAnsi="TH Sarabun New" w:cs="TH Sarabun New" w:hint="cs"/>
          <w:kern w:val="0"/>
          <w:szCs w:val="24"/>
          <w14:ligatures w14:val="none"/>
        </w:rPr>
        <w:t>, which serves as a theoretical baseline for riskless investment. It has three defining characteristics:</w:t>
      </w:r>
    </w:p>
    <w:p w14:paraId="0D2FD135" w14:textId="77777777" w:rsidR="006862E6" w:rsidRPr="006862E6" w:rsidRDefault="006862E6" w:rsidP="006862E6">
      <w:pPr>
        <w:numPr>
          <w:ilvl w:val="0"/>
          <w:numId w:val="4"/>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 xml:space="preserve">Its expected return is the risk-free rate, </w:t>
      </w:r>
      <w:r w:rsidRPr="006862E6">
        <w:rPr>
          <w:rFonts w:ascii="TH Sarabun New" w:eastAsia="Times New Roman" w:hAnsi="TH Sarabun New" w:cs="TH Sarabun New" w:hint="cs"/>
          <w:kern w:val="0"/>
          <w:sz w:val="20"/>
          <w:szCs w:val="20"/>
          <w14:ligatures w14:val="none"/>
        </w:rPr>
        <w:t>R</w:t>
      </w:r>
      <w:r w:rsidRPr="006862E6">
        <w:rPr>
          <w:rFonts w:ascii="TH Sarabun New" w:eastAsia="Times New Roman" w:hAnsi="TH Sarabun New" w:cs="TH Sarabun New" w:hint="cs"/>
          <w:kern w:val="0"/>
          <w:szCs w:val="24"/>
          <w14:ligatures w14:val="none"/>
        </w:rPr>
        <w:t>.</w:t>
      </w:r>
    </w:p>
    <w:p w14:paraId="7E799B2B" w14:textId="77777777" w:rsidR="006862E6" w:rsidRPr="006862E6" w:rsidRDefault="006862E6" w:rsidP="006862E6">
      <w:pPr>
        <w:numPr>
          <w:ilvl w:val="0"/>
          <w:numId w:val="4"/>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 xml:space="preserve">Its volatility (standard deviation) is </w:t>
      </w:r>
      <w:r w:rsidRPr="006862E6">
        <w:rPr>
          <w:rFonts w:ascii="TH Sarabun New" w:eastAsia="Times New Roman" w:hAnsi="TH Sarabun New" w:cs="TH Sarabun New" w:hint="cs"/>
          <w:kern w:val="0"/>
          <w:sz w:val="20"/>
          <w:szCs w:val="20"/>
          <w14:ligatures w14:val="none"/>
        </w:rPr>
        <w:t>0</w:t>
      </w:r>
      <w:r w:rsidRPr="006862E6">
        <w:rPr>
          <w:rFonts w:ascii="TH Sarabun New" w:eastAsia="Times New Roman" w:hAnsi="TH Sarabun New" w:cs="TH Sarabun New" w:hint="cs"/>
          <w:kern w:val="0"/>
          <w:szCs w:val="24"/>
          <w14:ligatures w14:val="none"/>
        </w:rPr>
        <w:t>.</w:t>
      </w:r>
    </w:p>
    <w:p w14:paraId="1A42B450" w14:textId="77777777" w:rsidR="006862E6" w:rsidRPr="006862E6" w:rsidRDefault="006862E6" w:rsidP="006862E6">
      <w:pPr>
        <w:numPr>
          <w:ilvl w:val="0"/>
          <w:numId w:val="4"/>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 xml:space="preserve">Its correlation with any other asset is </w:t>
      </w:r>
      <w:r w:rsidRPr="006862E6">
        <w:rPr>
          <w:rFonts w:ascii="TH Sarabun New" w:eastAsia="Times New Roman" w:hAnsi="TH Sarabun New" w:cs="TH Sarabun New" w:hint="cs"/>
          <w:kern w:val="0"/>
          <w:sz w:val="20"/>
          <w:szCs w:val="20"/>
          <w14:ligatures w14:val="none"/>
        </w:rPr>
        <w:t>0</w:t>
      </w:r>
      <w:r w:rsidRPr="006862E6">
        <w:rPr>
          <w:rFonts w:ascii="TH Sarabun New" w:eastAsia="Times New Roman" w:hAnsi="TH Sarabun New" w:cs="TH Sarabun New" w:hint="cs"/>
          <w:kern w:val="0"/>
          <w:szCs w:val="24"/>
          <w14:ligatures w14:val="none"/>
        </w:rPr>
        <w:t>.</w:t>
      </w:r>
    </w:p>
    <w:p w14:paraId="0C0C25ED"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Finally, for the mathematical model to function as intended, several additional market assumptions are required:</w:t>
      </w:r>
    </w:p>
    <w:p w14:paraId="4917A5CD" w14:textId="77777777" w:rsidR="006862E6" w:rsidRPr="006862E6" w:rsidRDefault="006862E6" w:rsidP="006862E6">
      <w:pPr>
        <w:numPr>
          <w:ilvl w:val="0"/>
          <w:numId w:val="5"/>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Total Returns:</w:t>
      </w:r>
      <w:r w:rsidRPr="006862E6">
        <w:rPr>
          <w:rFonts w:ascii="TH Sarabun New" w:eastAsia="Times New Roman" w:hAnsi="TH Sarabun New" w:cs="TH Sarabun New" w:hint="cs"/>
          <w:kern w:val="0"/>
          <w:szCs w:val="24"/>
          <w14:ligatures w14:val="none"/>
        </w:rPr>
        <w:t xml:space="preserve"> All calculations are based on total returns, meaning any dividends or interest payments are assumed to be reinvested.</w:t>
      </w:r>
    </w:p>
    <w:p w14:paraId="2B4085DC" w14:textId="77777777" w:rsidR="006862E6" w:rsidRPr="006862E6" w:rsidRDefault="006862E6" w:rsidP="006862E6">
      <w:pPr>
        <w:numPr>
          <w:ilvl w:val="0"/>
          <w:numId w:val="5"/>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Fractional Investing:</w:t>
      </w:r>
      <w:r w:rsidRPr="006862E6">
        <w:rPr>
          <w:rFonts w:ascii="TH Sarabun New" w:eastAsia="Times New Roman" w:hAnsi="TH Sarabun New" w:cs="TH Sarabun New" w:hint="cs"/>
          <w:kern w:val="0"/>
          <w:szCs w:val="24"/>
          <w14:ligatures w14:val="none"/>
        </w:rPr>
        <w:t xml:space="preserve"> It is possible to buy or sell fractions of any asset.</w:t>
      </w:r>
    </w:p>
    <w:p w14:paraId="655C2156" w14:textId="77777777" w:rsidR="006862E6" w:rsidRPr="006862E6" w:rsidRDefault="006862E6" w:rsidP="006862E6">
      <w:pPr>
        <w:numPr>
          <w:ilvl w:val="0"/>
          <w:numId w:val="5"/>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Unrestricted Borrowing and Lending:</w:t>
      </w:r>
      <w:r w:rsidRPr="006862E6">
        <w:rPr>
          <w:rFonts w:ascii="TH Sarabun New" w:eastAsia="Times New Roman" w:hAnsi="TH Sarabun New" w:cs="TH Sarabun New" w:hint="cs"/>
          <w:kern w:val="0"/>
          <w:szCs w:val="24"/>
          <w14:ligatures w14:val="none"/>
        </w:rPr>
        <w:t xml:space="preserve"> Investors can borrow or lend unlimited amounts of capital at the risk-free rate.</w:t>
      </w:r>
    </w:p>
    <w:p w14:paraId="1A77C6F9" w14:textId="77777777" w:rsidR="006862E6" w:rsidRPr="006862E6" w:rsidRDefault="006862E6" w:rsidP="006862E6">
      <w:pPr>
        <w:numPr>
          <w:ilvl w:val="0"/>
          <w:numId w:val="5"/>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lastRenderedPageBreak/>
        <w:t>Unrestricted Short-Selling:</w:t>
      </w:r>
      <w:r w:rsidRPr="006862E6">
        <w:rPr>
          <w:rFonts w:ascii="TH Sarabun New" w:eastAsia="Times New Roman" w:hAnsi="TH Sarabun New" w:cs="TH Sarabun New" w:hint="cs"/>
          <w:kern w:val="0"/>
          <w:szCs w:val="24"/>
          <w14:ligatures w14:val="none"/>
        </w:rPr>
        <w:t xml:space="preserve"> There are no penalties or restrictions on short-selling risky assets.</w:t>
      </w:r>
    </w:p>
    <w:p w14:paraId="0018F310" w14:textId="77777777" w:rsidR="006862E6" w:rsidRPr="006862E6" w:rsidRDefault="006862E6" w:rsidP="006862E6">
      <w:pPr>
        <w:numPr>
          <w:ilvl w:val="0"/>
          <w:numId w:val="5"/>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Frictionless Market:</w:t>
      </w:r>
      <w:r w:rsidRPr="006862E6">
        <w:rPr>
          <w:rFonts w:ascii="TH Sarabun New" w:eastAsia="Times New Roman" w:hAnsi="TH Sarabun New" w:cs="TH Sarabun New" w:hint="cs"/>
          <w:kern w:val="0"/>
          <w:szCs w:val="24"/>
          <w14:ligatures w14:val="none"/>
        </w:rPr>
        <w:t xml:space="preserve"> The market is assumed to be perfect, with no taxes, transaction fees, or collateral requirements.</w:t>
      </w:r>
    </w:p>
    <w:p w14:paraId="58314D8E"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With these foundational assumptions established, we can proceed to analyze how these elements are combined to construct and evaluate investment portfolios.</w:t>
      </w:r>
    </w:p>
    <w:p w14:paraId="767928E2" w14:textId="77777777" w:rsidR="006862E6" w:rsidRPr="006862E6" w:rsidRDefault="006862E6" w:rsidP="006862E6">
      <w:pPr>
        <w:spacing w:before="100" w:beforeAutospacing="1" w:after="100" w:afterAutospacing="1" w:line="240" w:lineRule="auto"/>
        <w:outlineLvl w:val="1"/>
        <w:rPr>
          <w:rFonts w:ascii="TH Sarabun New" w:eastAsia="Times New Roman" w:hAnsi="TH Sarabun New" w:cs="TH Sarabun New" w:hint="cs"/>
          <w:b/>
          <w:bCs/>
          <w:kern w:val="0"/>
          <w:sz w:val="36"/>
          <w:szCs w:val="36"/>
          <w14:ligatures w14:val="none"/>
        </w:rPr>
      </w:pPr>
      <w:r w:rsidRPr="006862E6">
        <w:rPr>
          <w:rFonts w:ascii="TH Sarabun New" w:eastAsia="Times New Roman" w:hAnsi="TH Sarabun New" w:cs="TH Sarabun New" w:hint="cs"/>
          <w:b/>
          <w:bCs/>
          <w:kern w:val="0"/>
          <w:sz w:val="36"/>
          <w:szCs w:val="36"/>
          <w14:ligatures w14:val="none"/>
        </w:rPr>
        <w:t>3.0 The Mechanics of Portfolio Optimization</w:t>
      </w:r>
    </w:p>
    <w:p w14:paraId="21226DF3"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 xml:space="preserve">The central goal of Modern Portfolio Theory is to solve what is known as a </w:t>
      </w:r>
      <w:r w:rsidRPr="006862E6">
        <w:rPr>
          <w:rFonts w:ascii="TH Sarabun New" w:eastAsia="Times New Roman" w:hAnsi="TH Sarabun New" w:cs="TH Sarabun New" w:hint="cs"/>
          <w:b/>
          <w:bCs/>
          <w:kern w:val="0"/>
          <w:szCs w:val="24"/>
          <w14:ligatures w14:val="none"/>
        </w:rPr>
        <w:t>mean-variance optimization</w:t>
      </w:r>
      <w:r w:rsidRPr="006862E6">
        <w:rPr>
          <w:rFonts w:ascii="TH Sarabun New" w:eastAsia="Times New Roman" w:hAnsi="TH Sarabun New" w:cs="TH Sarabun New" w:hint="cs"/>
          <w:kern w:val="0"/>
          <w:szCs w:val="24"/>
          <w14:ligatures w14:val="none"/>
        </w:rPr>
        <w:t xml:space="preserve"> problem. As defined by Markowitz, this problem has a dual objective: an investor seeks to either achieve the highest possible return for a given level of risk or, conversely, to assume the lowest possible risk for a given return target.</w:t>
      </w:r>
    </w:p>
    <w:p w14:paraId="40E0C2E4"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 xml:space="preserve">The key mechanism for achieving this optimization is </w:t>
      </w:r>
      <w:r w:rsidRPr="006862E6">
        <w:rPr>
          <w:rFonts w:ascii="TH Sarabun New" w:eastAsia="Times New Roman" w:hAnsi="TH Sarabun New" w:cs="TH Sarabun New" w:hint="cs"/>
          <w:b/>
          <w:bCs/>
          <w:kern w:val="0"/>
          <w:szCs w:val="24"/>
          <w14:ligatures w14:val="none"/>
        </w:rPr>
        <w:t>diversification</w:t>
      </w:r>
      <w:r w:rsidRPr="006862E6">
        <w:rPr>
          <w:rFonts w:ascii="TH Sarabun New" w:eastAsia="Times New Roman" w:hAnsi="TH Sarabun New" w:cs="TH Sarabun New" w:hint="cs"/>
          <w:kern w:val="0"/>
          <w:szCs w:val="24"/>
          <w14:ligatures w14:val="none"/>
        </w:rPr>
        <w:t xml:space="preserve">. The mathematical formulation of portfolio variance demonstrates that as long as the correlation coefficient </w:t>
      </w:r>
      <w:r w:rsidRPr="006862E6">
        <w:rPr>
          <w:rFonts w:ascii="Calibri" w:eastAsia="Times New Roman" w:hAnsi="Calibri" w:cs="Calibri"/>
          <w:kern w:val="0"/>
          <w:sz w:val="20"/>
          <w:szCs w:val="20"/>
          <w14:ligatures w14:val="none"/>
        </w:rPr>
        <w:t>ρ</w:t>
      </w:r>
      <w:r w:rsidRPr="006862E6">
        <w:rPr>
          <w:rFonts w:ascii="TH Sarabun New" w:eastAsia="Times New Roman" w:hAnsi="TH Sarabun New" w:cs="TH Sarabun New" w:hint="cs"/>
          <w:kern w:val="0"/>
          <w:szCs w:val="24"/>
          <w14:ligatures w14:val="none"/>
        </w:rPr>
        <w:t xml:space="preserve"> between two assets is less than 1, the risk of a portfolio composed of those assets will be lower than the simple weighted average of their individual risks.</w:t>
      </w:r>
    </w:p>
    <w:p w14:paraId="09A186D7"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 xml:space="preserve">For a universe of risky assets, the set of all possible portfolio combinations of risk and return forms the </w:t>
      </w:r>
      <w:r w:rsidRPr="006862E6">
        <w:rPr>
          <w:rFonts w:ascii="TH Sarabun New" w:eastAsia="Times New Roman" w:hAnsi="TH Sarabun New" w:cs="TH Sarabun New" w:hint="cs"/>
          <w:b/>
          <w:bCs/>
          <w:kern w:val="0"/>
          <w:szCs w:val="24"/>
          <w14:ligatures w14:val="none"/>
        </w:rPr>
        <w:t>Opportunity Set</w:t>
      </w:r>
      <w:r w:rsidRPr="006862E6">
        <w:rPr>
          <w:rFonts w:ascii="TH Sarabun New" w:eastAsia="Times New Roman" w:hAnsi="TH Sarabun New" w:cs="TH Sarabun New" w:hint="cs"/>
          <w:kern w:val="0"/>
          <w:szCs w:val="24"/>
          <w14:ligatures w14:val="none"/>
        </w:rPr>
        <w:t xml:space="preserve">, which in the two-asset case is a hyperbola. The point on this curve that corresponds to the portfolio with the lowest possible risk is called the </w:t>
      </w:r>
      <w:r w:rsidRPr="006862E6">
        <w:rPr>
          <w:rFonts w:ascii="TH Sarabun New" w:eastAsia="Times New Roman" w:hAnsi="TH Sarabun New" w:cs="TH Sarabun New" w:hint="cs"/>
          <w:b/>
          <w:bCs/>
          <w:kern w:val="0"/>
          <w:szCs w:val="24"/>
          <w14:ligatures w14:val="none"/>
        </w:rPr>
        <w:t>Global Minimum Variance Portfolio (GMVP)</w:t>
      </w:r>
      <w:r w:rsidRPr="006862E6">
        <w:rPr>
          <w:rFonts w:ascii="TH Sarabun New" w:eastAsia="Times New Roman" w:hAnsi="TH Sarabun New" w:cs="TH Sarabun New" w:hint="cs"/>
          <w:kern w:val="0"/>
          <w:szCs w:val="24"/>
          <w14:ligatures w14:val="none"/>
        </w:rPr>
        <w:t xml:space="preserve">. However, a rational investor is only interested in the </w:t>
      </w:r>
      <w:r w:rsidRPr="006862E6">
        <w:rPr>
          <w:rFonts w:ascii="TH Sarabun New" w:eastAsia="Times New Roman" w:hAnsi="TH Sarabun New" w:cs="TH Sarabun New" w:hint="cs"/>
          <w:b/>
          <w:bCs/>
          <w:kern w:val="0"/>
          <w:szCs w:val="24"/>
          <w14:ligatures w14:val="none"/>
        </w:rPr>
        <w:t>Efficient Frontier</w:t>
      </w:r>
      <w:r w:rsidRPr="006862E6">
        <w:rPr>
          <w:rFonts w:ascii="TH Sarabun New" w:eastAsia="Times New Roman" w:hAnsi="TH Sarabun New" w:cs="TH Sarabun New" w:hint="cs"/>
          <w:kern w:val="0"/>
          <w:szCs w:val="24"/>
          <w14:ligatures w14:val="none"/>
        </w:rPr>
        <w:t>—the upper portion of the opportunity set, which represents the set of portfolios offering the highest possible expected return for each level of risk.</w:t>
      </w:r>
    </w:p>
    <w:p w14:paraId="14BE89B3"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 xml:space="preserve">The introduction of the risk-free asset marks a transformative intellectual leap. An investor can now form a portfolio by combining the RFA with </w:t>
      </w:r>
      <w:r w:rsidRPr="006862E6">
        <w:rPr>
          <w:rFonts w:ascii="TH Sarabun New" w:eastAsia="Times New Roman" w:hAnsi="TH Sarabun New" w:cs="TH Sarabun New" w:hint="cs"/>
          <w:i/>
          <w:iCs/>
          <w:kern w:val="0"/>
          <w:szCs w:val="24"/>
          <w14:ligatures w14:val="none"/>
        </w:rPr>
        <w:t>any</w:t>
      </w:r>
      <w:r w:rsidRPr="006862E6">
        <w:rPr>
          <w:rFonts w:ascii="TH Sarabun New" w:eastAsia="Times New Roman" w:hAnsi="TH Sarabun New" w:cs="TH Sarabun New" w:hint="cs"/>
          <w:kern w:val="0"/>
          <w:szCs w:val="24"/>
          <w14:ligatures w14:val="none"/>
        </w:rPr>
        <w:t xml:space="preserve"> single risky portfolio on the efficient frontier. Each such combination creates a straight line of new investment opportunities in the risk-return space. This fundamentally changes the nature of the optimization problem. Instead of choosing from an infinite set of portfolios along the curved efficient frontier, the investor's task simplifies to finding the </w:t>
      </w:r>
      <w:r w:rsidRPr="006862E6">
        <w:rPr>
          <w:rFonts w:ascii="TH Sarabun New" w:eastAsia="Times New Roman" w:hAnsi="TH Sarabun New" w:cs="TH Sarabun New" w:hint="cs"/>
          <w:i/>
          <w:iCs/>
          <w:kern w:val="0"/>
          <w:szCs w:val="24"/>
          <w14:ligatures w14:val="none"/>
        </w:rPr>
        <w:t>single</w:t>
      </w:r>
      <w:r w:rsidRPr="006862E6">
        <w:rPr>
          <w:rFonts w:ascii="TH Sarabun New" w:eastAsia="Times New Roman" w:hAnsi="TH Sarabun New" w:cs="TH Sarabun New" w:hint="cs"/>
          <w:kern w:val="0"/>
          <w:szCs w:val="24"/>
          <w14:ligatures w14:val="none"/>
        </w:rPr>
        <w:t xml:space="preserve"> risky portfolio that creates the line with the greatest possible slope, as a steeper slope represents a better risk-return trade-off.</w:t>
      </w:r>
    </w:p>
    <w:p w14:paraId="6CB55637"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 xml:space="preserve">This optimal risky portfolio is called the </w:t>
      </w:r>
      <w:r w:rsidRPr="006862E6">
        <w:rPr>
          <w:rFonts w:ascii="TH Sarabun New" w:eastAsia="Times New Roman" w:hAnsi="TH Sarabun New" w:cs="TH Sarabun New" w:hint="cs"/>
          <w:b/>
          <w:bCs/>
          <w:kern w:val="0"/>
          <w:szCs w:val="24"/>
          <w14:ligatures w14:val="none"/>
        </w:rPr>
        <w:t>Tangency Portfolio</w:t>
      </w:r>
      <w:r w:rsidRPr="006862E6">
        <w:rPr>
          <w:rFonts w:ascii="TH Sarabun New" w:eastAsia="Times New Roman" w:hAnsi="TH Sarabun New" w:cs="TH Sarabun New" w:hint="cs"/>
          <w:kern w:val="0"/>
          <w:szCs w:val="24"/>
          <w14:ligatures w14:val="none"/>
        </w:rPr>
        <w:t>. It is the specific portfolio on the efficient frontier that, when connected to the risk-free asset, forms a line tangent to the frontier, thereby maximizing the slope.</w:t>
      </w:r>
    </w:p>
    <w:p w14:paraId="03B9730C"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 xml:space="preserve">This line, which starts at the RFA and runs through the tangency portfolio, becomes the new, superior efficient frontier, known as the </w:t>
      </w:r>
      <w:r w:rsidRPr="006862E6">
        <w:rPr>
          <w:rFonts w:ascii="TH Sarabun New" w:eastAsia="Times New Roman" w:hAnsi="TH Sarabun New" w:cs="TH Sarabun New" w:hint="cs"/>
          <w:b/>
          <w:bCs/>
          <w:kern w:val="0"/>
          <w:szCs w:val="24"/>
          <w14:ligatures w14:val="none"/>
        </w:rPr>
        <w:t>Capital Market Line (CML)</w:t>
      </w:r>
      <w:r w:rsidRPr="006862E6">
        <w:rPr>
          <w:rFonts w:ascii="TH Sarabun New" w:eastAsia="Times New Roman" w:hAnsi="TH Sarabun New" w:cs="TH Sarabun New" w:hint="cs"/>
          <w:kern w:val="0"/>
          <w:szCs w:val="24"/>
          <w14:ligatures w14:val="none"/>
        </w:rPr>
        <w:t xml:space="preserve">. The slope of this line is a critical performance metric called the </w:t>
      </w:r>
      <w:r w:rsidRPr="006862E6">
        <w:rPr>
          <w:rFonts w:ascii="TH Sarabun New" w:eastAsia="Times New Roman" w:hAnsi="TH Sarabun New" w:cs="TH Sarabun New" w:hint="cs"/>
          <w:b/>
          <w:bCs/>
          <w:kern w:val="0"/>
          <w:szCs w:val="24"/>
          <w14:ligatures w14:val="none"/>
        </w:rPr>
        <w:t>Sharpe Ratio</w:t>
      </w:r>
      <w:r w:rsidRPr="006862E6">
        <w:rPr>
          <w:rFonts w:ascii="TH Sarabun New" w:eastAsia="Times New Roman" w:hAnsi="TH Sarabun New" w:cs="TH Sarabun New" w:hint="cs"/>
          <w:kern w:val="0"/>
          <w:szCs w:val="24"/>
          <w14:ligatures w14:val="none"/>
        </w:rPr>
        <w:t xml:space="preserve">, calculated as </w:t>
      </w:r>
      <w:r w:rsidRPr="006862E6">
        <w:rPr>
          <w:rFonts w:ascii="TH Sarabun New" w:eastAsia="Times New Roman" w:hAnsi="TH Sarabun New" w:cs="TH Sarabun New" w:hint="cs"/>
          <w:kern w:val="0"/>
          <w:sz w:val="20"/>
          <w:szCs w:val="20"/>
          <w14:ligatures w14:val="none"/>
        </w:rPr>
        <w:t>(</w:t>
      </w:r>
      <w:r w:rsidRPr="006862E6">
        <w:rPr>
          <w:rFonts w:ascii="Calibri" w:eastAsia="Times New Roman" w:hAnsi="Calibri" w:cs="Calibri"/>
          <w:kern w:val="0"/>
          <w:sz w:val="20"/>
          <w:szCs w:val="20"/>
          <w14:ligatures w14:val="none"/>
        </w:rPr>
        <w:t>μ</w:t>
      </w:r>
      <w:r w:rsidRPr="006862E6">
        <w:rPr>
          <w:rFonts w:ascii="TH Sarabun New" w:eastAsia="Times New Roman" w:hAnsi="TH Sarabun New" w:cs="TH Sarabun New" w:hint="cs"/>
          <w:kern w:val="0"/>
          <w:sz w:val="20"/>
          <w:szCs w:val="20"/>
          <w14:ligatures w14:val="none"/>
        </w:rPr>
        <w:t xml:space="preserve">t - R) / </w:t>
      </w:r>
      <w:r w:rsidRPr="006862E6">
        <w:rPr>
          <w:rFonts w:ascii="Calibri" w:eastAsia="Times New Roman" w:hAnsi="Calibri" w:cs="Calibri"/>
          <w:kern w:val="0"/>
          <w:sz w:val="20"/>
          <w:szCs w:val="20"/>
          <w14:ligatures w14:val="none"/>
        </w:rPr>
        <w:t>σ</w:t>
      </w:r>
      <w:r w:rsidRPr="006862E6">
        <w:rPr>
          <w:rFonts w:ascii="TH Sarabun New" w:eastAsia="Times New Roman" w:hAnsi="TH Sarabun New" w:cs="TH Sarabun New" w:hint="cs"/>
          <w:kern w:val="0"/>
          <w:sz w:val="20"/>
          <w:szCs w:val="20"/>
          <w14:ligatures w14:val="none"/>
        </w:rPr>
        <w:t>t</w:t>
      </w:r>
      <w:r w:rsidRPr="006862E6">
        <w:rPr>
          <w:rFonts w:ascii="TH Sarabun New" w:eastAsia="Times New Roman" w:hAnsi="TH Sarabun New" w:cs="TH Sarabun New" w:hint="cs"/>
          <w:kern w:val="0"/>
          <w:szCs w:val="24"/>
          <w14:ligatures w14:val="none"/>
        </w:rPr>
        <w:t>. The Sharpe Ratio quantifies the risk-adjusted return of a portfolio, measuring the excess return (return above the risk-free rate) earned per unit of total risk (standard deviation). By definition, the tangency portfolio is the risky portfolio with the highest possible Sharpe Ratio.</w:t>
      </w:r>
    </w:p>
    <w:p w14:paraId="7C7F3898"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This framework provides a complete solution for an individual investor's optimization problem. The next step is to explore what happens when all investors in a market behave according to these same principles.</w:t>
      </w:r>
    </w:p>
    <w:p w14:paraId="37AB29FD" w14:textId="77777777" w:rsidR="006862E6" w:rsidRPr="006862E6" w:rsidRDefault="006862E6" w:rsidP="006862E6">
      <w:pPr>
        <w:spacing w:before="100" w:beforeAutospacing="1" w:after="100" w:afterAutospacing="1" w:line="240" w:lineRule="auto"/>
        <w:outlineLvl w:val="1"/>
        <w:rPr>
          <w:rFonts w:ascii="TH Sarabun New" w:eastAsia="Times New Roman" w:hAnsi="TH Sarabun New" w:cs="TH Sarabun New" w:hint="cs"/>
          <w:b/>
          <w:bCs/>
          <w:kern w:val="0"/>
          <w:sz w:val="36"/>
          <w:szCs w:val="36"/>
          <w14:ligatures w14:val="none"/>
        </w:rPr>
      </w:pPr>
      <w:r w:rsidRPr="006862E6">
        <w:rPr>
          <w:rFonts w:ascii="TH Sarabun New" w:eastAsia="Times New Roman" w:hAnsi="TH Sarabun New" w:cs="TH Sarabun New" w:hint="cs"/>
          <w:b/>
          <w:bCs/>
          <w:kern w:val="0"/>
          <w:sz w:val="36"/>
          <w:szCs w:val="36"/>
          <w14:ligatures w14:val="none"/>
        </w:rPr>
        <w:lastRenderedPageBreak/>
        <w:t>4.0 From Theory to Equilibrium Models: The CAPM and Beyond</w:t>
      </w:r>
    </w:p>
    <w:p w14:paraId="3C7691AC"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The principles of MPT describe how an individual rational investor should construct an optimal portfolio. The logical next step is to consider the market-wide implications if all investors share the same assumptions and pursue the same optimization objective. This transition from individual optimization to a market-wide view gives rise to powerful equilibrium models that describe how assets should be priced.</w:t>
      </w:r>
    </w:p>
    <w:p w14:paraId="2BBF4741"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 xml:space="preserve">If all investors have homogeneous beliefs—meaning they share the same estimates for expected returns, risks, and correlations—they will all independently identify the exact same tangency portfolio as the optimal risky portfolio. In this scenario, the tangency portfolio becomes the </w:t>
      </w:r>
      <w:r w:rsidRPr="006862E6">
        <w:rPr>
          <w:rFonts w:ascii="TH Sarabun New" w:eastAsia="Times New Roman" w:hAnsi="TH Sarabun New" w:cs="TH Sarabun New" w:hint="cs"/>
          <w:b/>
          <w:bCs/>
          <w:kern w:val="0"/>
          <w:szCs w:val="24"/>
          <w14:ligatures w14:val="none"/>
        </w:rPr>
        <w:t>Market Portfolio</w:t>
      </w:r>
      <w:r w:rsidRPr="006862E6">
        <w:rPr>
          <w:rFonts w:ascii="TH Sarabun New" w:eastAsia="Times New Roman" w:hAnsi="TH Sarabun New" w:cs="TH Sarabun New" w:hint="cs"/>
          <w:kern w:val="0"/>
          <w:szCs w:val="24"/>
          <w14:ligatures w14:val="none"/>
        </w:rPr>
        <w:t xml:space="preserve">, a theoretical portfolio containing all tradable assets in the market, weighted by their market value. The Sharpe Ratio of this market portfolio is then interpreted as the </w:t>
      </w:r>
      <w:r w:rsidRPr="006862E6">
        <w:rPr>
          <w:rFonts w:ascii="TH Sarabun New" w:eastAsia="Times New Roman" w:hAnsi="TH Sarabun New" w:cs="TH Sarabun New" w:hint="cs"/>
          <w:b/>
          <w:bCs/>
          <w:kern w:val="0"/>
          <w:szCs w:val="24"/>
          <w14:ligatures w14:val="none"/>
        </w:rPr>
        <w:t>market price of risk</w:t>
      </w:r>
      <w:r w:rsidRPr="006862E6">
        <w:rPr>
          <w:rFonts w:ascii="TH Sarabun New" w:eastAsia="Times New Roman" w:hAnsi="TH Sarabun New" w:cs="TH Sarabun New" w:hint="cs"/>
          <w:kern w:val="0"/>
          <w:szCs w:val="24"/>
          <w14:ligatures w14:val="none"/>
        </w:rPr>
        <w:t>: the amount of extra return the market provides for each unit of market risk taken.</w:t>
      </w:r>
    </w:p>
    <w:p w14:paraId="641D654C"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 xml:space="preserve">From this insight emerges the </w:t>
      </w:r>
      <w:r w:rsidRPr="006862E6">
        <w:rPr>
          <w:rFonts w:ascii="TH Sarabun New" w:eastAsia="Times New Roman" w:hAnsi="TH Sarabun New" w:cs="TH Sarabun New" w:hint="cs"/>
          <w:b/>
          <w:bCs/>
          <w:kern w:val="0"/>
          <w:szCs w:val="24"/>
          <w14:ligatures w14:val="none"/>
        </w:rPr>
        <w:t>Capital Asset Pricing Model (CAPM)</w:t>
      </w:r>
      <w:r w:rsidRPr="006862E6">
        <w:rPr>
          <w:rFonts w:ascii="TH Sarabun New" w:eastAsia="Times New Roman" w:hAnsi="TH Sarabun New" w:cs="TH Sarabun New" w:hint="cs"/>
          <w:kern w:val="0"/>
          <w:szCs w:val="24"/>
          <w14:ligatures w14:val="none"/>
        </w:rPr>
        <w:t>, a linear equilibrium model that describes the expected return for any asset or portfolio. Its core equation is expressed in terms of expectations:</w:t>
      </w:r>
    </w:p>
    <w:p w14:paraId="56C408E6"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 w:val="20"/>
          <w:szCs w:val="20"/>
          <w14:ligatures w14:val="none"/>
        </w:rPr>
        <w:t xml:space="preserve">E[rI] = R + </w:t>
      </w:r>
      <w:r w:rsidRPr="006862E6">
        <w:rPr>
          <w:rFonts w:ascii="Calibri" w:eastAsia="Times New Roman" w:hAnsi="Calibri" w:cs="Calibri"/>
          <w:kern w:val="0"/>
          <w:sz w:val="20"/>
          <w:szCs w:val="20"/>
          <w14:ligatures w14:val="none"/>
        </w:rPr>
        <w:t>β</w:t>
      </w:r>
      <w:r w:rsidRPr="006862E6">
        <w:rPr>
          <w:rFonts w:ascii="TH Sarabun New" w:eastAsia="Times New Roman" w:hAnsi="TH Sarabun New" w:cs="TH Sarabun New" w:hint="cs"/>
          <w:kern w:val="0"/>
          <w:sz w:val="20"/>
          <w:szCs w:val="20"/>
          <w14:ligatures w14:val="none"/>
        </w:rPr>
        <w:t>I * (E[rM] - R)</w:t>
      </w:r>
    </w:p>
    <w:p w14:paraId="399635CC"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This elegant equation deconstructs an asset's expected return into two components: the risk-free rate and a risk premium. The CAPM posits that the risk premium on any investment (</w:t>
      </w:r>
      <w:r w:rsidRPr="006862E6">
        <w:rPr>
          <w:rFonts w:ascii="TH Sarabun New" w:eastAsia="Times New Roman" w:hAnsi="TH Sarabun New" w:cs="TH Sarabun New" w:hint="cs"/>
          <w:kern w:val="0"/>
          <w:sz w:val="20"/>
          <w:szCs w:val="20"/>
          <w14:ligatures w14:val="none"/>
        </w:rPr>
        <w:t>E[rI] - R</w:t>
      </w:r>
      <w:r w:rsidRPr="006862E6">
        <w:rPr>
          <w:rFonts w:ascii="TH Sarabun New" w:eastAsia="Times New Roman" w:hAnsi="TH Sarabun New" w:cs="TH Sarabun New" w:hint="cs"/>
          <w:kern w:val="0"/>
          <w:szCs w:val="24"/>
          <w14:ligatures w14:val="none"/>
        </w:rPr>
        <w:t>) is directly proportional to the market's risk premium (</w:t>
      </w:r>
      <w:r w:rsidRPr="006862E6">
        <w:rPr>
          <w:rFonts w:ascii="TH Sarabun New" w:eastAsia="Times New Roman" w:hAnsi="TH Sarabun New" w:cs="TH Sarabun New" w:hint="cs"/>
          <w:kern w:val="0"/>
          <w:sz w:val="20"/>
          <w:szCs w:val="20"/>
          <w14:ligatures w14:val="none"/>
        </w:rPr>
        <w:t>E[rM] - R</w:t>
      </w:r>
      <w:r w:rsidRPr="006862E6">
        <w:rPr>
          <w:rFonts w:ascii="TH Sarabun New" w:eastAsia="Times New Roman" w:hAnsi="TH Sarabun New" w:cs="TH Sarabun New" w:hint="cs"/>
          <w:kern w:val="0"/>
          <w:szCs w:val="24"/>
          <w14:ligatures w14:val="none"/>
        </w:rPr>
        <w:t xml:space="preserve">). The constant of proportionality is </w:t>
      </w:r>
      <w:r w:rsidRPr="006862E6">
        <w:rPr>
          <w:rFonts w:ascii="Calibri" w:eastAsia="Times New Roman" w:hAnsi="Calibri" w:cs="Calibri"/>
          <w:kern w:val="0"/>
          <w:sz w:val="20"/>
          <w:szCs w:val="20"/>
          <w14:ligatures w14:val="none"/>
        </w:rPr>
        <w:t>β</w:t>
      </w:r>
      <w:r w:rsidRPr="006862E6">
        <w:rPr>
          <w:rFonts w:ascii="TH Sarabun New" w:eastAsia="Times New Roman" w:hAnsi="TH Sarabun New" w:cs="TH Sarabun New" w:hint="cs"/>
          <w:kern w:val="0"/>
          <w:sz w:val="20"/>
          <w:szCs w:val="20"/>
          <w14:ligatures w14:val="none"/>
        </w:rPr>
        <w:t>I</w:t>
      </w:r>
      <w:r w:rsidRPr="006862E6">
        <w:rPr>
          <w:rFonts w:ascii="TH Sarabun New" w:eastAsia="Times New Roman" w:hAnsi="TH Sarabun New" w:cs="TH Sarabun New" w:hint="cs"/>
          <w:kern w:val="0"/>
          <w:szCs w:val="24"/>
          <w14:ligatures w14:val="none"/>
        </w:rPr>
        <w:t xml:space="preserve"> (beta), which measures the investment's </w:t>
      </w:r>
      <w:r w:rsidRPr="006862E6">
        <w:rPr>
          <w:rFonts w:ascii="TH Sarabun New" w:eastAsia="Times New Roman" w:hAnsi="TH Sarabun New" w:cs="TH Sarabun New" w:hint="cs"/>
          <w:b/>
          <w:bCs/>
          <w:kern w:val="0"/>
          <w:szCs w:val="24"/>
          <w14:ligatures w14:val="none"/>
        </w:rPr>
        <w:t>systematic risk</w:t>
      </w:r>
      <w:r w:rsidRPr="006862E6">
        <w:rPr>
          <w:rFonts w:ascii="TH Sarabun New" w:eastAsia="Times New Roman" w:hAnsi="TH Sarabun New" w:cs="TH Sarabun New" w:hint="cs"/>
          <w:kern w:val="0"/>
          <w:szCs w:val="24"/>
          <w14:ligatures w14:val="none"/>
        </w:rPr>
        <w:t>—its sensitivity to overall market movements. This is the portion of risk that cannot be eliminated through diversification.</w:t>
      </w:r>
    </w:p>
    <w:p w14:paraId="529AAF92"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This formulation introduces a critical distinction between two types of risk:</w:t>
      </w:r>
    </w:p>
    <w:p w14:paraId="134E536D" w14:textId="77777777" w:rsidR="006862E6" w:rsidRPr="006862E6" w:rsidRDefault="006862E6" w:rsidP="006862E6">
      <w:pPr>
        <w:numPr>
          <w:ilvl w:val="0"/>
          <w:numId w:val="6"/>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Systematic Risk:</w:t>
      </w:r>
      <w:r w:rsidRPr="006862E6">
        <w:rPr>
          <w:rFonts w:ascii="TH Sarabun New" w:eastAsia="Times New Roman" w:hAnsi="TH Sarabun New" w:cs="TH Sarabun New" w:hint="cs"/>
          <w:kern w:val="0"/>
          <w:szCs w:val="24"/>
          <w14:ligatures w14:val="none"/>
        </w:rPr>
        <w:t xml:space="preserve"> Market-wide risk (measured by beta) that affects all assets and cannot be diversified away.</w:t>
      </w:r>
    </w:p>
    <w:p w14:paraId="3EE338D7" w14:textId="77777777" w:rsidR="006862E6" w:rsidRPr="006862E6" w:rsidRDefault="006862E6" w:rsidP="006862E6">
      <w:pPr>
        <w:numPr>
          <w:ilvl w:val="0"/>
          <w:numId w:val="6"/>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Idiosyncratic Risk:</w:t>
      </w:r>
      <w:r w:rsidRPr="006862E6">
        <w:rPr>
          <w:rFonts w:ascii="TH Sarabun New" w:eastAsia="Times New Roman" w:hAnsi="TH Sarabun New" w:cs="TH Sarabun New" w:hint="cs"/>
          <w:kern w:val="0"/>
          <w:szCs w:val="24"/>
          <w14:ligatures w14:val="none"/>
        </w:rPr>
        <w:t xml:space="preserve"> Asset-specific risk that is uncorrelated with the market.</w:t>
      </w:r>
    </w:p>
    <w:p w14:paraId="2E086B72" w14:textId="77777777" w:rsidR="006862E6" w:rsidRDefault="006862E6" w:rsidP="006862E6">
      <w:pPr>
        <w:spacing w:before="100" w:beforeAutospacing="1" w:after="100" w:afterAutospacing="1" w:line="240" w:lineRule="auto"/>
        <w:rPr>
          <w:rFonts w:ascii="TH Sarabun New" w:eastAsia="Times New Roman" w:hAnsi="TH Sarabun New" w:cs="TH Sarabun New"/>
          <w:kern w:val="0"/>
          <w:szCs w:val="24"/>
          <w14:ligatures w14:val="none"/>
        </w:rPr>
      </w:pPr>
      <w:r w:rsidRPr="006862E6">
        <w:rPr>
          <w:rFonts w:ascii="TH Sarabun New" w:eastAsia="Times New Roman" w:hAnsi="TH Sarabun New" w:cs="TH Sarabun New" w:hint="cs"/>
          <w:kern w:val="0"/>
          <w:szCs w:val="24"/>
          <w14:ligatures w14:val="none"/>
        </w:rPr>
        <w:t>Because idiosyncratic risk can be completely eliminated in a well-diversified portfolio, the CAPM implies that the market provides no compensation or risk premium for bearing it. Investors are only rewarded for taking on systematic risk.</w:t>
      </w:r>
    </w:p>
    <w:p w14:paraId="561D253C" w14:textId="77777777" w:rsidR="006862E6" w:rsidRDefault="006862E6" w:rsidP="006862E6">
      <w:pPr>
        <w:spacing w:before="100" w:beforeAutospacing="1" w:after="100" w:afterAutospacing="1" w:line="240" w:lineRule="auto"/>
        <w:rPr>
          <w:rFonts w:ascii="TH Sarabun New" w:eastAsia="Times New Roman" w:hAnsi="TH Sarabun New" w:cs="TH Sarabun New"/>
          <w:kern w:val="0"/>
          <w:szCs w:val="24"/>
          <w14:ligatures w14:val="none"/>
        </w:rPr>
      </w:pPr>
    </w:p>
    <w:p w14:paraId="6FD79CDA" w14:textId="77777777" w:rsidR="006862E6" w:rsidRDefault="006862E6" w:rsidP="006862E6">
      <w:pPr>
        <w:spacing w:before="100" w:beforeAutospacing="1" w:after="100" w:afterAutospacing="1" w:line="240" w:lineRule="auto"/>
        <w:rPr>
          <w:rFonts w:ascii="TH Sarabun New" w:eastAsia="Times New Roman" w:hAnsi="TH Sarabun New" w:cs="TH Sarabun New"/>
          <w:kern w:val="0"/>
          <w:szCs w:val="24"/>
          <w14:ligatures w14:val="none"/>
        </w:rPr>
      </w:pPr>
    </w:p>
    <w:p w14:paraId="24FAD0AF" w14:textId="77777777" w:rsidR="006862E6" w:rsidRDefault="006862E6" w:rsidP="006862E6">
      <w:pPr>
        <w:spacing w:before="100" w:beforeAutospacing="1" w:after="100" w:afterAutospacing="1" w:line="240" w:lineRule="auto"/>
        <w:rPr>
          <w:rFonts w:ascii="TH Sarabun New" w:eastAsia="Times New Roman" w:hAnsi="TH Sarabun New" w:cs="TH Sarabun New"/>
          <w:kern w:val="0"/>
          <w:szCs w:val="24"/>
          <w14:ligatures w14:val="none"/>
        </w:rPr>
      </w:pPr>
    </w:p>
    <w:p w14:paraId="2875D881" w14:textId="77777777" w:rsidR="006862E6" w:rsidRDefault="006862E6" w:rsidP="006862E6">
      <w:pPr>
        <w:spacing w:before="100" w:beforeAutospacing="1" w:after="100" w:afterAutospacing="1" w:line="240" w:lineRule="auto"/>
        <w:rPr>
          <w:rFonts w:ascii="TH Sarabun New" w:eastAsia="Times New Roman" w:hAnsi="TH Sarabun New" w:cs="TH Sarabun New"/>
          <w:kern w:val="0"/>
          <w:szCs w:val="24"/>
          <w14:ligatures w14:val="none"/>
        </w:rPr>
      </w:pPr>
    </w:p>
    <w:p w14:paraId="2438F7CA"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p>
    <w:p w14:paraId="140EB801"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lastRenderedPageBreak/>
        <w:t xml:space="preserve">The single-factor CAPM was later generalized into </w:t>
      </w:r>
      <w:r w:rsidRPr="006862E6">
        <w:rPr>
          <w:rFonts w:ascii="TH Sarabun New" w:eastAsia="Times New Roman" w:hAnsi="TH Sarabun New" w:cs="TH Sarabun New" w:hint="cs"/>
          <w:b/>
          <w:bCs/>
          <w:kern w:val="0"/>
          <w:szCs w:val="24"/>
          <w14:ligatures w14:val="none"/>
        </w:rPr>
        <w:t>Multi-factor Models</w:t>
      </w:r>
      <w:r w:rsidRPr="006862E6">
        <w:rPr>
          <w:rFonts w:ascii="TH Sarabun New" w:eastAsia="Times New Roman" w:hAnsi="TH Sarabun New" w:cs="TH Sarabun New" w:hint="cs"/>
          <w:kern w:val="0"/>
          <w:szCs w:val="24"/>
          <w14:ligatures w14:val="none"/>
        </w:rPr>
        <w:t xml:space="preserve"> that seek to explain asset returns with additional risk factors beyond the overall market.</w:t>
      </w:r>
    </w:p>
    <w:tbl>
      <w:tblPr>
        <w:tblStyle w:val="GridTable4-Accent2"/>
        <w:tblW w:w="5000" w:type="pct"/>
        <w:tblLook w:val="04A0" w:firstRow="1" w:lastRow="0" w:firstColumn="1" w:lastColumn="0" w:noHBand="0" w:noVBand="1"/>
      </w:tblPr>
      <w:tblGrid>
        <w:gridCol w:w="1598"/>
        <w:gridCol w:w="5230"/>
        <w:gridCol w:w="2522"/>
      </w:tblGrid>
      <w:tr w:rsidR="006862E6" w:rsidRPr="006862E6" w14:paraId="456CFC2C" w14:textId="77777777" w:rsidTr="00686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5ABB3" w14:textId="77777777" w:rsidR="006862E6" w:rsidRPr="006862E6" w:rsidRDefault="006862E6" w:rsidP="006862E6">
            <w:pPr>
              <w:spacing w:before="100" w:beforeAutospacing="1" w:after="100" w:afterAutospacing="1"/>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Model</w:t>
            </w:r>
          </w:p>
        </w:tc>
        <w:tc>
          <w:tcPr>
            <w:tcW w:w="0" w:type="auto"/>
            <w:hideMark/>
          </w:tcPr>
          <w:p w14:paraId="3B88A162" w14:textId="77777777" w:rsidR="006862E6" w:rsidRPr="006862E6" w:rsidRDefault="006862E6" w:rsidP="006862E6">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Key Insight</w:t>
            </w:r>
          </w:p>
        </w:tc>
        <w:tc>
          <w:tcPr>
            <w:tcW w:w="0" w:type="auto"/>
            <w:hideMark/>
          </w:tcPr>
          <w:p w14:paraId="03A3FEA7" w14:textId="77777777" w:rsidR="006862E6" w:rsidRPr="006862E6" w:rsidRDefault="006862E6" w:rsidP="006862E6">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Factors Added to CAPM</w:t>
            </w:r>
          </w:p>
        </w:tc>
      </w:tr>
      <w:tr w:rsidR="006862E6" w:rsidRPr="006862E6" w14:paraId="5933C4D0" w14:textId="77777777" w:rsidTr="00686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303F9" w14:textId="77777777" w:rsidR="006862E6" w:rsidRPr="006862E6" w:rsidRDefault="006862E6" w:rsidP="006862E6">
            <w:pPr>
              <w:spacing w:before="100" w:beforeAutospacing="1" w:after="100" w:afterAutospacing="1"/>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Arbitrage Pricing Theory (APT)</w:t>
            </w:r>
          </w:p>
        </w:tc>
        <w:tc>
          <w:tcPr>
            <w:tcW w:w="0" w:type="auto"/>
            <w:hideMark/>
          </w:tcPr>
          <w:p w14:paraId="518C0EB8" w14:textId="77777777" w:rsidR="006862E6" w:rsidRPr="006862E6" w:rsidRDefault="006862E6" w:rsidP="006862E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An equilibrium model with weaker assumptions than CAPM that allows for multiple risk factors. Unlike empirical models, it is theoretically derived, but the factors are not specified by the theory.</w:t>
            </w:r>
          </w:p>
        </w:tc>
        <w:tc>
          <w:tcPr>
            <w:tcW w:w="0" w:type="auto"/>
            <w:hideMark/>
          </w:tcPr>
          <w:p w14:paraId="051D8995" w14:textId="77777777" w:rsidR="006862E6" w:rsidRPr="006862E6" w:rsidRDefault="006862E6" w:rsidP="006862E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Factors are not specified by the theory, making it difficult to apply in practice.</w:t>
            </w:r>
          </w:p>
        </w:tc>
      </w:tr>
      <w:tr w:rsidR="006862E6" w:rsidRPr="006862E6" w14:paraId="027937DF" w14:textId="77777777" w:rsidTr="006862E6">
        <w:tc>
          <w:tcPr>
            <w:cnfStyle w:val="001000000000" w:firstRow="0" w:lastRow="0" w:firstColumn="1" w:lastColumn="0" w:oddVBand="0" w:evenVBand="0" w:oddHBand="0" w:evenHBand="0" w:firstRowFirstColumn="0" w:firstRowLastColumn="0" w:lastRowFirstColumn="0" w:lastRowLastColumn="0"/>
            <w:tcW w:w="0" w:type="auto"/>
            <w:hideMark/>
          </w:tcPr>
          <w:p w14:paraId="3212356E" w14:textId="77777777" w:rsidR="006862E6" w:rsidRPr="006862E6" w:rsidRDefault="006862E6" w:rsidP="006862E6">
            <w:pPr>
              <w:spacing w:before="100" w:beforeAutospacing="1" w:after="100" w:afterAutospacing="1"/>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Fama-French Three-Factor Model</w:t>
            </w:r>
          </w:p>
        </w:tc>
        <w:tc>
          <w:tcPr>
            <w:tcW w:w="0" w:type="auto"/>
            <w:hideMark/>
          </w:tcPr>
          <w:p w14:paraId="7F989CF1" w14:textId="77777777" w:rsidR="006862E6" w:rsidRPr="006862E6" w:rsidRDefault="006862E6" w:rsidP="006862E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Empirically observed that firms with small market capitalization and high book-to-market ratios ("value" stocks) have historically outperformed.</w:t>
            </w:r>
          </w:p>
        </w:tc>
        <w:tc>
          <w:tcPr>
            <w:tcW w:w="0" w:type="auto"/>
            <w:hideMark/>
          </w:tcPr>
          <w:p w14:paraId="1CC9BD8B" w14:textId="77777777" w:rsidR="006862E6" w:rsidRPr="006862E6" w:rsidRDefault="006862E6" w:rsidP="006862E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1. Firm Size (Small minus Big) &lt;br&gt; 2. Value (High minus Low book-to-market)</w:t>
            </w:r>
          </w:p>
        </w:tc>
      </w:tr>
      <w:tr w:rsidR="006862E6" w:rsidRPr="006862E6" w14:paraId="40D9573A" w14:textId="77777777" w:rsidTr="00686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1063A" w14:textId="77777777" w:rsidR="006862E6" w:rsidRPr="006862E6" w:rsidRDefault="006862E6" w:rsidP="006862E6">
            <w:pPr>
              <w:spacing w:before="100" w:beforeAutospacing="1" w:after="100" w:afterAutospacing="1"/>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Carhart Model</w:t>
            </w:r>
          </w:p>
        </w:tc>
        <w:tc>
          <w:tcPr>
            <w:tcW w:w="0" w:type="auto"/>
            <w:hideMark/>
          </w:tcPr>
          <w:p w14:paraId="4838E352" w14:textId="77777777" w:rsidR="006862E6" w:rsidRPr="006862E6" w:rsidRDefault="006862E6" w:rsidP="006862E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Built on the Fama-French model by incorporating the observation that assets with strong recent performance tend to continue performing well.</w:t>
            </w:r>
          </w:p>
        </w:tc>
        <w:tc>
          <w:tcPr>
            <w:tcW w:w="0" w:type="auto"/>
            <w:hideMark/>
          </w:tcPr>
          <w:p w14:paraId="4975A21F" w14:textId="77777777" w:rsidR="006862E6" w:rsidRPr="006862E6" w:rsidRDefault="006862E6" w:rsidP="006862E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Adds a Momentum factor to the Fama-French model.</w:t>
            </w:r>
          </w:p>
        </w:tc>
      </w:tr>
      <w:tr w:rsidR="006862E6" w:rsidRPr="006862E6" w14:paraId="7F2A7AC5" w14:textId="77777777" w:rsidTr="006862E6">
        <w:tc>
          <w:tcPr>
            <w:cnfStyle w:val="001000000000" w:firstRow="0" w:lastRow="0" w:firstColumn="1" w:lastColumn="0" w:oddVBand="0" w:evenVBand="0" w:oddHBand="0" w:evenHBand="0" w:firstRowFirstColumn="0" w:firstRowLastColumn="0" w:lastRowFirstColumn="0" w:lastRowLastColumn="0"/>
            <w:tcW w:w="0" w:type="auto"/>
            <w:hideMark/>
          </w:tcPr>
          <w:p w14:paraId="6CF42F59" w14:textId="77777777" w:rsidR="006862E6" w:rsidRPr="006862E6" w:rsidRDefault="006862E6" w:rsidP="006862E6">
            <w:pPr>
              <w:spacing w:before="100" w:beforeAutospacing="1" w:after="100" w:afterAutospacing="1"/>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Pastor-Stambaugh Model</w:t>
            </w:r>
          </w:p>
        </w:tc>
        <w:tc>
          <w:tcPr>
            <w:tcW w:w="0" w:type="auto"/>
            <w:hideMark/>
          </w:tcPr>
          <w:p w14:paraId="6EC95D05" w14:textId="77777777" w:rsidR="006862E6" w:rsidRPr="006862E6" w:rsidRDefault="006862E6" w:rsidP="006862E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Refined the Fama-French model by adding a factor to account for the risk associated with illiquid assets.</w:t>
            </w:r>
          </w:p>
        </w:tc>
        <w:tc>
          <w:tcPr>
            <w:tcW w:w="0" w:type="auto"/>
            <w:hideMark/>
          </w:tcPr>
          <w:p w14:paraId="3E02740A" w14:textId="77777777" w:rsidR="006862E6" w:rsidRPr="006862E6" w:rsidRDefault="006862E6" w:rsidP="006862E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Adds a Liquidity factor to the Fama-French model.</w:t>
            </w:r>
          </w:p>
        </w:tc>
      </w:tr>
    </w:tbl>
    <w:p w14:paraId="1BB4E14A"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These theoretical models provide a robust foundation not only for understanding asset pricing but also for developing practical methods to evaluate investment performance.</w:t>
      </w:r>
    </w:p>
    <w:p w14:paraId="053381D1" w14:textId="77777777" w:rsidR="006862E6" w:rsidRPr="006862E6" w:rsidRDefault="006862E6" w:rsidP="006862E6">
      <w:pPr>
        <w:spacing w:before="100" w:beforeAutospacing="1" w:after="100" w:afterAutospacing="1" w:line="240" w:lineRule="auto"/>
        <w:outlineLvl w:val="1"/>
        <w:rPr>
          <w:rFonts w:ascii="TH Sarabun New" w:eastAsia="Times New Roman" w:hAnsi="TH Sarabun New" w:cs="TH Sarabun New" w:hint="cs"/>
          <w:b/>
          <w:bCs/>
          <w:kern w:val="0"/>
          <w:sz w:val="36"/>
          <w:szCs w:val="36"/>
          <w14:ligatures w14:val="none"/>
        </w:rPr>
      </w:pPr>
      <w:r w:rsidRPr="006862E6">
        <w:rPr>
          <w:rFonts w:ascii="TH Sarabun New" w:eastAsia="Times New Roman" w:hAnsi="TH Sarabun New" w:cs="TH Sarabun New" w:hint="cs"/>
          <w:b/>
          <w:bCs/>
          <w:kern w:val="0"/>
          <w:sz w:val="36"/>
          <w:szCs w:val="36"/>
          <w14:ligatures w14:val="none"/>
        </w:rPr>
        <w:t>5.0 Measuring Risk-Adjusted Performance</w:t>
      </w:r>
    </w:p>
    <w:p w14:paraId="2407EFAA"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A core contribution of MPT and its derivative models is the creation of a framework for evaluating investment performance. Instead of focusing solely on raw returns, these tools allow for a nuanced assessment based on the amount and type of risk taken to achieve those returns. Several key efficiency ratios have become industry standards for this purpose.</w:t>
      </w:r>
    </w:p>
    <w:p w14:paraId="5F822433"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The Sharpe and Treynor ratios are two of the oldest and most widely used metrics, differing only in their definition of risk.</w:t>
      </w:r>
    </w:p>
    <w:tbl>
      <w:tblPr>
        <w:tblStyle w:val="GridTable4-Accent2"/>
        <w:tblW w:w="5000" w:type="pct"/>
        <w:tblLook w:val="04A0" w:firstRow="1" w:lastRow="0" w:firstColumn="1" w:lastColumn="0" w:noHBand="0" w:noVBand="1"/>
      </w:tblPr>
      <w:tblGrid>
        <w:gridCol w:w="1164"/>
        <w:gridCol w:w="8186"/>
      </w:tblGrid>
      <w:tr w:rsidR="006862E6" w:rsidRPr="006862E6" w14:paraId="74707E19" w14:textId="77777777" w:rsidTr="00686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39165" w14:textId="77777777" w:rsidR="006862E6" w:rsidRPr="006862E6" w:rsidRDefault="006862E6" w:rsidP="006862E6">
            <w:pPr>
              <w:spacing w:before="100" w:beforeAutospacing="1" w:after="100" w:afterAutospacing="1"/>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Ratio</w:t>
            </w:r>
          </w:p>
        </w:tc>
        <w:tc>
          <w:tcPr>
            <w:tcW w:w="0" w:type="auto"/>
            <w:hideMark/>
          </w:tcPr>
          <w:p w14:paraId="69DD9380" w14:textId="77777777" w:rsidR="006862E6" w:rsidRPr="006862E6" w:rsidRDefault="006862E6" w:rsidP="006862E6">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Measures</w:t>
            </w:r>
          </w:p>
        </w:tc>
      </w:tr>
      <w:tr w:rsidR="006862E6" w:rsidRPr="006862E6" w14:paraId="55CCF81D" w14:textId="77777777" w:rsidTr="006862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274CD" w14:textId="77777777" w:rsidR="006862E6" w:rsidRPr="006862E6" w:rsidRDefault="006862E6" w:rsidP="006862E6">
            <w:pPr>
              <w:spacing w:before="100" w:beforeAutospacing="1" w:after="100" w:afterAutospacing="1"/>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Sharpe Ratio</w:t>
            </w:r>
          </w:p>
        </w:tc>
        <w:tc>
          <w:tcPr>
            <w:tcW w:w="0" w:type="auto"/>
            <w:hideMark/>
          </w:tcPr>
          <w:p w14:paraId="6567AFB7" w14:textId="77777777" w:rsidR="006862E6" w:rsidRPr="006862E6" w:rsidRDefault="006862E6" w:rsidP="006862E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 xml:space="preserve">Excess return per unit of </w:t>
            </w:r>
            <w:r w:rsidRPr="006862E6">
              <w:rPr>
                <w:rFonts w:ascii="TH Sarabun New" w:eastAsia="Times New Roman" w:hAnsi="TH Sarabun New" w:cs="TH Sarabun New" w:hint="cs"/>
                <w:b/>
                <w:bCs/>
                <w:kern w:val="0"/>
                <w:szCs w:val="24"/>
                <w14:ligatures w14:val="none"/>
              </w:rPr>
              <w:t>total risk</w:t>
            </w:r>
            <w:r w:rsidRPr="006862E6">
              <w:rPr>
                <w:rFonts w:ascii="TH Sarabun New" w:eastAsia="Times New Roman" w:hAnsi="TH Sarabun New" w:cs="TH Sarabun New" w:hint="cs"/>
                <w:kern w:val="0"/>
                <w:szCs w:val="24"/>
                <w14:ligatures w14:val="none"/>
              </w:rPr>
              <w:t xml:space="preserve"> (</w:t>
            </w:r>
            <w:r w:rsidRPr="006862E6">
              <w:rPr>
                <w:rFonts w:ascii="Calibri" w:eastAsia="Times New Roman" w:hAnsi="Calibri" w:cs="Calibri"/>
                <w:kern w:val="0"/>
                <w:sz w:val="20"/>
                <w:szCs w:val="20"/>
                <w14:ligatures w14:val="none"/>
              </w:rPr>
              <w:t>σ</w:t>
            </w:r>
            <w:r w:rsidRPr="006862E6">
              <w:rPr>
                <w:rFonts w:ascii="TH Sarabun New" w:eastAsia="Times New Roman" w:hAnsi="TH Sarabun New" w:cs="TH Sarabun New" w:hint="cs"/>
                <w:kern w:val="0"/>
                <w:sz w:val="20"/>
                <w:szCs w:val="20"/>
                <w14:ligatures w14:val="none"/>
              </w:rPr>
              <w:t>I</w:t>
            </w:r>
            <w:r w:rsidRPr="006862E6">
              <w:rPr>
                <w:rFonts w:ascii="TH Sarabun New" w:eastAsia="Times New Roman" w:hAnsi="TH Sarabun New" w:cs="TH Sarabun New" w:hint="cs"/>
                <w:kern w:val="0"/>
                <w:szCs w:val="24"/>
                <w14:ligatures w14:val="none"/>
              </w:rPr>
              <w:t>). It evaluates the return of a portfolio relative to its overall volatility.</w:t>
            </w:r>
          </w:p>
        </w:tc>
      </w:tr>
      <w:tr w:rsidR="006862E6" w:rsidRPr="006862E6" w14:paraId="4F104D8A" w14:textId="77777777" w:rsidTr="006862E6">
        <w:tc>
          <w:tcPr>
            <w:cnfStyle w:val="001000000000" w:firstRow="0" w:lastRow="0" w:firstColumn="1" w:lastColumn="0" w:oddVBand="0" w:evenVBand="0" w:oddHBand="0" w:evenHBand="0" w:firstRowFirstColumn="0" w:firstRowLastColumn="0" w:lastRowFirstColumn="0" w:lastRowLastColumn="0"/>
            <w:tcW w:w="0" w:type="auto"/>
            <w:hideMark/>
          </w:tcPr>
          <w:p w14:paraId="33575B4F" w14:textId="77777777" w:rsidR="006862E6" w:rsidRPr="006862E6" w:rsidRDefault="006862E6" w:rsidP="006862E6">
            <w:pPr>
              <w:spacing w:before="100" w:beforeAutospacing="1" w:after="100" w:afterAutospacing="1"/>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Treynor Ratio</w:t>
            </w:r>
          </w:p>
        </w:tc>
        <w:tc>
          <w:tcPr>
            <w:tcW w:w="0" w:type="auto"/>
            <w:hideMark/>
          </w:tcPr>
          <w:p w14:paraId="3956B952" w14:textId="77777777" w:rsidR="006862E6" w:rsidRPr="006862E6" w:rsidRDefault="006862E6" w:rsidP="006862E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 xml:space="preserve">Excess return per unit of </w:t>
            </w:r>
            <w:r w:rsidRPr="006862E6">
              <w:rPr>
                <w:rFonts w:ascii="TH Sarabun New" w:eastAsia="Times New Roman" w:hAnsi="TH Sarabun New" w:cs="TH Sarabun New" w:hint="cs"/>
                <w:b/>
                <w:bCs/>
                <w:kern w:val="0"/>
                <w:szCs w:val="24"/>
                <w14:ligatures w14:val="none"/>
              </w:rPr>
              <w:t>systematic risk</w:t>
            </w:r>
            <w:r w:rsidRPr="006862E6">
              <w:rPr>
                <w:rFonts w:ascii="TH Sarabun New" w:eastAsia="Times New Roman" w:hAnsi="TH Sarabun New" w:cs="TH Sarabun New" w:hint="cs"/>
                <w:kern w:val="0"/>
                <w:szCs w:val="24"/>
                <w14:ligatures w14:val="none"/>
              </w:rPr>
              <w:t xml:space="preserve"> (</w:t>
            </w:r>
            <w:r w:rsidRPr="006862E6">
              <w:rPr>
                <w:rFonts w:ascii="Calibri" w:eastAsia="Times New Roman" w:hAnsi="Calibri" w:cs="Calibri"/>
                <w:kern w:val="0"/>
                <w:sz w:val="20"/>
                <w:szCs w:val="20"/>
                <w14:ligatures w14:val="none"/>
              </w:rPr>
              <w:t>β</w:t>
            </w:r>
            <w:r w:rsidRPr="006862E6">
              <w:rPr>
                <w:rFonts w:ascii="TH Sarabun New" w:eastAsia="Times New Roman" w:hAnsi="TH Sarabun New" w:cs="TH Sarabun New" w:hint="cs"/>
                <w:kern w:val="0"/>
                <w:sz w:val="20"/>
                <w:szCs w:val="20"/>
                <w14:ligatures w14:val="none"/>
              </w:rPr>
              <w:t>I</w:t>
            </w:r>
            <w:r w:rsidRPr="006862E6">
              <w:rPr>
                <w:rFonts w:ascii="TH Sarabun New" w:eastAsia="Times New Roman" w:hAnsi="TH Sarabun New" w:cs="TH Sarabun New" w:hint="cs"/>
                <w:kern w:val="0"/>
                <w:szCs w:val="24"/>
                <w14:ligatures w14:val="none"/>
              </w:rPr>
              <w:t>). It evaluates how much excess return was generated for each unit of market risk taken on.</w:t>
            </w:r>
          </w:p>
        </w:tc>
      </w:tr>
    </w:tbl>
    <w:p w14:paraId="3F7B7D4D" w14:textId="77777777" w:rsidR="006862E6" w:rsidRDefault="006862E6" w:rsidP="006862E6">
      <w:pPr>
        <w:spacing w:before="100" w:beforeAutospacing="1" w:after="100" w:afterAutospacing="1" w:line="240" w:lineRule="auto"/>
        <w:rPr>
          <w:rFonts w:ascii="TH Sarabun New" w:eastAsia="Times New Roman" w:hAnsi="TH Sarabun New" w:cs="TH Sarabun New"/>
          <w:kern w:val="0"/>
          <w:szCs w:val="24"/>
          <w14:ligatures w14:val="none"/>
        </w:rPr>
      </w:pPr>
      <w:r w:rsidRPr="006862E6">
        <w:rPr>
          <w:rFonts w:ascii="TH Sarabun New" w:eastAsia="Times New Roman" w:hAnsi="TH Sarabun New" w:cs="TH Sarabun New" w:hint="cs"/>
          <w:kern w:val="0"/>
          <w:szCs w:val="24"/>
          <w14:ligatures w14:val="none"/>
        </w:rPr>
        <w:t xml:space="preserve">While these ratios provide a single score, </w:t>
      </w:r>
      <w:r w:rsidRPr="006862E6">
        <w:rPr>
          <w:rFonts w:ascii="TH Sarabun New" w:eastAsia="Times New Roman" w:hAnsi="TH Sarabun New" w:cs="TH Sarabun New" w:hint="cs"/>
          <w:b/>
          <w:bCs/>
          <w:kern w:val="0"/>
          <w:szCs w:val="24"/>
          <w14:ligatures w14:val="none"/>
        </w:rPr>
        <w:t>Jensen's Alpha (</w:t>
      </w:r>
      <w:r w:rsidRPr="006862E6">
        <w:rPr>
          <w:rFonts w:ascii="Calibri" w:eastAsia="Times New Roman" w:hAnsi="Calibri" w:cs="Calibri"/>
          <w:b/>
          <w:bCs/>
          <w:kern w:val="0"/>
          <w:szCs w:val="24"/>
          <w14:ligatures w14:val="none"/>
        </w:rPr>
        <w:t>α</w:t>
      </w:r>
      <w:r w:rsidRPr="006862E6">
        <w:rPr>
          <w:rFonts w:ascii="TH Sarabun New" w:eastAsia="Times New Roman" w:hAnsi="TH Sarabun New" w:cs="TH Sarabun New" w:hint="cs"/>
          <w:b/>
          <w:bCs/>
          <w:kern w:val="0"/>
          <w:szCs w:val="24"/>
          <w14:ligatures w14:val="none"/>
        </w:rPr>
        <w:t>)</w:t>
      </w:r>
      <w:r w:rsidRPr="006862E6">
        <w:rPr>
          <w:rFonts w:ascii="TH Sarabun New" w:eastAsia="Times New Roman" w:hAnsi="TH Sarabun New" w:cs="TH Sarabun New" w:hint="cs"/>
          <w:kern w:val="0"/>
          <w:szCs w:val="24"/>
          <w14:ligatures w14:val="none"/>
        </w:rPr>
        <w:t xml:space="preserve"> offers a direct measure of outperformance. It is defined as the difference between an investment's actual return and the return that would be predicted by the CAPM. In modern practice, alpha is used to quantify the "active return" of a portfolio—the value added (or subtracted) by a manager's skill in deviating from a passive market strategy.</w:t>
      </w:r>
    </w:p>
    <w:p w14:paraId="23302AC7"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p>
    <w:p w14:paraId="7F82C876"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lastRenderedPageBreak/>
        <w:t>The concept of alpha has led to a practical distinction between two broad investment philosophies:</w:t>
      </w:r>
    </w:p>
    <w:p w14:paraId="575160BC" w14:textId="77777777" w:rsidR="006862E6" w:rsidRPr="006862E6" w:rsidRDefault="006862E6" w:rsidP="006862E6">
      <w:pPr>
        <w:numPr>
          <w:ilvl w:val="0"/>
          <w:numId w:val="7"/>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"Alpha Hunters":</w:t>
      </w:r>
      <w:r w:rsidRPr="006862E6">
        <w:rPr>
          <w:rFonts w:ascii="TH Sarabun New" w:eastAsia="Times New Roman" w:hAnsi="TH Sarabun New" w:cs="TH Sarabun New" w:hint="cs"/>
          <w:kern w:val="0"/>
          <w:szCs w:val="24"/>
          <w14:ligatures w14:val="none"/>
        </w:rPr>
        <w:t xml:space="preserve"> Active managers who aim to generate positive alpha through security selection and market timing. Their goal is to produce returns independent of the market's direction.</w:t>
      </w:r>
    </w:p>
    <w:p w14:paraId="67F8EE87" w14:textId="77777777" w:rsidR="006862E6" w:rsidRPr="006862E6" w:rsidRDefault="006862E6" w:rsidP="006862E6">
      <w:pPr>
        <w:numPr>
          <w:ilvl w:val="0"/>
          <w:numId w:val="7"/>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"Beta Grazers":</w:t>
      </w:r>
      <w:r w:rsidRPr="006862E6">
        <w:rPr>
          <w:rFonts w:ascii="TH Sarabun New" w:eastAsia="Times New Roman" w:hAnsi="TH Sarabun New" w:cs="TH Sarabun New" w:hint="cs"/>
          <w:kern w:val="0"/>
          <w:szCs w:val="24"/>
          <w14:ligatures w14:val="none"/>
        </w:rPr>
        <w:t xml:space="preserve"> Passively managed funds (like index funds) that do not seek to generate alpha (</w:t>
      </w:r>
      <w:r w:rsidRPr="006862E6">
        <w:rPr>
          <w:rFonts w:ascii="Calibri" w:eastAsia="Times New Roman" w:hAnsi="Calibri" w:cs="Calibri"/>
          <w:kern w:val="0"/>
          <w:sz w:val="20"/>
          <w:szCs w:val="20"/>
          <w14:ligatures w14:val="none"/>
        </w:rPr>
        <w:t>α</w:t>
      </w:r>
      <w:r w:rsidRPr="006862E6">
        <w:rPr>
          <w:rFonts w:ascii="TH Sarabun New" w:eastAsia="Times New Roman" w:hAnsi="TH Sarabun New" w:cs="TH Sarabun New" w:hint="cs"/>
          <w:kern w:val="0"/>
          <w:sz w:val="20"/>
          <w:szCs w:val="20"/>
          <w14:ligatures w14:val="none"/>
        </w:rPr>
        <w:t>=0</w:t>
      </w:r>
      <w:r w:rsidRPr="006862E6">
        <w:rPr>
          <w:rFonts w:ascii="TH Sarabun New" w:eastAsia="Times New Roman" w:hAnsi="TH Sarabun New" w:cs="TH Sarabun New" w:hint="cs"/>
          <w:kern w:val="0"/>
          <w:szCs w:val="24"/>
          <w14:ligatures w14:val="none"/>
        </w:rPr>
        <w:t xml:space="preserve">) but instead aim to provide a specific, targeted exposure to systematic risk (e.g., </w:t>
      </w:r>
      <w:r w:rsidRPr="006862E6">
        <w:rPr>
          <w:rFonts w:ascii="Calibri" w:eastAsia="Times New Roman" w:hAnsi="Calibri" w:cs="Calibri"/>
          <w:kern w:val="0"/>
          <w:sz w:val="20"/>
          <w:szCs w:val="20"/>
          <w14:ligatures w14:val="none"/>
        </w:rPr>
        <w:t>β</w:t>
      </w:r>
      <w:r w:rsidRPr="006862E6">
        <w:rPr>
          <w:rFonts w:ascii="TH Sarabun New" w:eastAsia="Times New Roman" w:hAnsi="TH Sarabun New" w:cs="TH Sarabun New" w:hint="cs"/>
          <w:kern w:val="0"/>
          <w:sz w:val="20"/>
          <w:szCs w:val="20"/>
          <w14:ligatures w14:val="none"/>
        </w:rPr>
        <w:t>=1</w:t>
      </w:r>
      <w:r w:rsidRPr="006862E6">
        <w:rPr>
          <w:rFonts w:ascii="TH Sarabun New" w:eastAsia="Times New Roman" w:hAnsi="TH Sarabun New" w:cs="TH Sarabun New" w:hint="cs"/>
          <w:kern w:val="0"/>
          <w:szCs w:val="24"/>
          <w14:ligatures w14:val="none"/>
        </w:rPr>
        <w:t xml:space="preserve"> to track the market).</w:t>
      </w:r>
    </w:p>
    <w:p w14:paraId="53E38FE7"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 xml:space="preserve">To evaluate the efficiency of an active manager, the </w:t>
      </w:r>
      <w:r w:rsidRPr="006862E6">
        <w:rPr>
          <w:rFonts w:ascii="TH Sarabun New" w:eastAsia="Times New Roman" w:hAnsi="TH Sarabun New" w:cs="TH Sarabun New" w:hint="cs"/>
          <w:b/>
          <w:bCs/>
          <w:kern w:val="0"/>
          <w:szCs w:val="24"/>
          <w14:ligatures w14:val="none"/>
        </w:rPr>
        <w:t>Information Ratio (IR)</w:t>
      </w:r>
      <w:r w:rsidRPr="006862E6">
        <w:rPr>
          <w:rFonts w:ascii="TH Sarabun New" w:eastAsia="Times New Roman" w:hAnsi="TH Sarabun New" w:cs="TH Sarabun New" w:hint="cs"/>
          <w:kern w:val="0"/>
          <w:szCs w:val="24"/>
          <w14:ligatures w14:val="none"/>
        </w:rPr>
        <w:t xml:space="preserve"> is used. It is calculated as the ratio of Jensen's Alpha to the standard deviation of that alpha (known as active risk or tracking error). The IR measures the amount of active return a manager achieves for each unit of active risk they take, providing a powerful metric for assessing manager skill.</w:t>
      </w:r>
    </w:p>
    <w:p w14:paraId="5C14691B"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These metrics are indispensable for modern performance attribution, but their application depends on the successful implementation of MPT, which faces significant challenges in the real world.</w:t>
      </w:r>
    </w:p>
    <w:p w14:paraId="161128FF" w14:textId="77777777" w:rsidR="006862E6" w:rsidRPr="006862E6" w:rsidRDefault="006862E6" w:rsidP="006862E6">
      <w:pPr>
        <w:spacing w:before="100" w:beforeAutospacing="1" w:after="100" w:afterAutospacing="1" w:line="240" w:lineRule="auto"/>
        <w:outlineLvl w:val="1"/>
        <w:rPr>
          <w:rFonts w:ascii="TH Sarabun New" w:eastAsia="Times New Roman" w:hAnsi="TH Sarabun New" w:cs="TH Sarabun New" w:hint="cs"/>
          <w:b/>
          <w:bCs/>
          <w:kern w:val="0"/>
          <w:sz w:val="36"/>
          <w:szCs w:val="36"/>
          <w14:ligatures w14:val="none"/>
        </w:rPr>
      </w:pPr>
      <w:r w:rsidRPr="006862E6">
        <w:rPr>
          <w:rFonts w:ascii="TH Sarabun New" w:eastAsia="Times New Roman" w:hAnsi="TH Sarabun New" w:cs="TH Sarabun New" w:hint="cs"/>
          <w:b/>
          <w:bCs/>
          <w:kern w:val="0"/>
          <w:sz w:val="36"/>
          <w:szCs w:val="36"/>
          <w14:ligatures w14:val="none"/>
        </w:rPr>
        <w:t>6.0 Practical Challenges and Modern Advancements</w:t>
      </w:r>
    </w:p>
    <w:p w14:paraId="2B5E7F9A"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While the impact of Modern Portfolio Theory on financial thought and practice is undeniable, its direct application has historically been complicated by significant real-world challenges. These limitations, however, have not invalidated the theory but have instead spurred decades of research and innovation aimed at making it more robust and practical.</w:t>
      </w:r>
    </w:p>
    <w:p w14:paraId="6351FCED"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The two main historical drawbacks of MPT are:</w:t>
      </w:r>
    </w:p>
    <w:p w14:paraId="5B6102F6" w14:textId="77777777" w:rsidR="006862E6" w:rsidRPr="006862E6" w:rsidRDefault="006862E6" w:rsidP="006862E6">
      <w:pPr>
        <w:numPr>
          <w:ilvl w:val="0"/>
          <w:numId w:val="8"/>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Dimensionality:</w:t>
      </w:r>
      <w:r w:rsidRPr="006862E6">
        <w:rPr>
          <w:rFonts w:ascii="TH Sarabun New" w:eastAsia="Times New Roman" w:hAnsi="TH Sarabun New" w:cs="TH Sarabun New" w:hint="cs"/>
          <w:kern w:val="0"/>
          <w:szCs w:val="24"/>
          <w14:ligatures w14:val="none"/>
        </w:rPr>
        <w:t xml:space="preserve"> The number of parameters required for a mean-variance optimization grows quadratically with the number of securities. For </w:t>
      </w:r>
      <w:r w:rsidRPr="006862E6">
        <w:rPr>
          <w:rFonts w:ascii="TH Sarabun New" w:eastAsia="Times New Roman" w:hAnsi="TH Sarabun New" w:cs="TH Sarabun New" w:hint="cs"/>
          <w:kern w:val="0"/>
          <w:sz w:val="20"/>
          <w:szCs w:val="20"/>
          <w14:ligatures w14:val="none"/>
        </w:rPr>
        <w:t>N</w:t>
      </w:r>
      <w:r w:rsidRPr="006862E6">
        <w:rPr>
          <w:rFonts w:ascii="TH Sarabun New" w:eastAsia="Times New Roman" w:hAnsi="TH Sarabun New" w:cs="TH Sarabun New" w:hint="cs"/>
          <w:kern w:val="0"/>
          <w:szCs w:val="24"/>
          <w14:ligatures w14:val="none"/>
        </w:rPr>
        <w:t xml:space="preserve"> assets, an analyst must estimate </w:t>
      </w:r>
      <w:r w:rsidRPr="006862E6">
        <w:rPr>
          <w:rFonts w:ascii="TH Sarabun New" w:eastAsia="Times New Roman" w:hAnsi="TH Sarabun New" w:cs="TH Sarabun New" w:hint="cs"/>
          <w:kern w:val="0"/>
          <w:sz w:val="20"/>
          <w:szCs w:val="20"/>
          <w14:ligatures w14:val="none"/>
        </w:rPr>
        <w:t>N</w:t>
      </w:r>
      <w:r w:rsidRPr="006862E6">
        <w:rPr>
          <w:rFonts w:ascii="TH Sarabun New" w:eastAsia="Times New Roman" w:hAnsi="TH Sarabun New" w:cs="TH Sarabun New" w:hint="cs"/>
          <w:kern w:val="0"/>
          <w:szCs w:val="24"/>
          <w14:ligatures w14:val="none"/>
        </w:rPr>
        <w:t xml:space="preserve"> expected returns, </w:t>
      </w:r>
      <w:r w:rsidRPr="006862E6">
        <w:rPr>
          <w:rFonts w:ascii="TH Sarabun New" w:eastAsia="Times New Roman" w:hAnsi="TH Sarabun New" w:cs="TH Sarabun New" w:hint="cs"/>
          <w:kern w:val="0"/>
          <w:sz w:val="20"/>
          <w:szCs w:val="20"/>
          <w14:ligatures w14:val="none"/>
        </w:rPr>
        <w:t>N</w:t>
      </w:r>
      <w:r w:rsidRPr="006862E6">
        <w:rPr>
          <w:rFonts w:ascii="TH Sarabun New" w:eastAsia="Times New Roman" w:hAnsi="TH Sarabun New" w:cs="TH Sarabun New" w:hint="cs"/>
          <w:kern w:val="0"/>
          <w:szCs w:val="24"/>
          <w14:ligatures w14:val="none"/>
        </w:rPr>
        <w:t xml:space="preserve"> standard deviations, and </w:t>
      </w:r>
      <w:r w:rsidRPr="006862E6">
        <w:rPr>
          <w:rFonts w:ascii="TH Sarabun New" w:eastAsia="Times New Roman" w:hAnsi="TH Sarabun New" w:cs="TH Sarabun New" w:hint="cs"/>
          <w:kern w:val="0"/>
          <w:sz w:val="20"/>
          <w:szCs w:val="20"/>
          <w14:ligatures w14:val="none"/>
        </w:rPr>
        <w:t>N(N-1)/2</w:t>
      </w:r>
      <w:r w:rsidRPr="006862E6">
        <w:rPr>
          <w:rFonts w:ascii="TH Sarabun New" w:eastAsia="Times New Roman" w:hAnsi="TH Sarabun New" w:cs="TH Sarabun New" w:hint="cs"/>
          <w:kern w:val="0"/>
          <w:szCs w:val="24"/>
          <w14:ligatures w14:val="none"/>
        </w:rPr>
        <w:t xml:space="preserve"> correlations. The number of required estimates thus grows at a quadratic rate (</w:t>
      </w:r>
      <w:r w:rsidRPr="006862E6">
        <w:rPr>
          <w:rFonts w:ascii="TH Sarabun New" w:eastAsia="Times New Roman" w:hAnsi="TH Sarabun New" w:cs="TH Sarabun New" w:hint="cs"/>
          <w:kern w:val="0"/>
          <w:sz w:val="20"/>
          <w:szCs w:val="20"/>
          <w14:ligatures w14:val="none"/>
        </w:rPr>
        <w:t>O(N²)</w:t>
      </w:r>
      <w:r w:rsidRPr="006862E6">
        <w:rPr>
          <w:rFonts w:ascii="TH Sarabun New" w:eastAsia="Times New Roman" w:hAnsi="TH Sarabun New" w:cs="TH Sarabun New" w:hint="cs"/>
          <w:kern w:val="0"/>
          <w:szCs w:val="24"/>
          <w14:ligatures w14:val="none"/>
        </w:rPr>
        <w:t xml:space="preserve">), making computation for large portfolios exceptionally difficult. The use of factor models helps alleviate this by reducing the growth rate of required parameters to a linear </w:t>
      </w:r>
      <w:r w:rsidRPr="006862E6">
        <w:rPr>
          <w:rFonts w:ascii="TH Sarabun New" w:eastAsia="Times New Roman" w:hAnsi="TH Sarabun New" w:cs="TH Sarabun New" w:hint="cs"/>
          <w:kern w:val="0"/>
          <w:sz w:val="20"/>
          <w:szCs w:val="20"/>
          <w14:ligatures w14:val="none"/>
        </w:rPr>
        <w:t>O(N)</w:t>
      </w:r>
      <w:r w:rsidRPr="006862E6">
        <w:rPr>
          <w:rFonts w:ascii="TH Sarabun New" w:eastAsia="Times New Roman" w:hAnsi="TH Sarabun New" w:cs="TH Sarabun New" w:hint="cs"/>
          <w:kern w:val="0"/>
          <w:szCs w:val="24"/>
          <w14:ligatures w14:val="none"/>
        </w:rPr>
        <w:t xml:space="preserve">, as one now only needs to estimate parameters for each of the </w:t>
      </w:r>
      <w:r w:rsidRPr="006862E6">
        <w:rPr>
          <w:rFonts w:ascii="TH Sarabun New" w:eastAsia="Times New Roman" w:hAnsi="TH Sarabun New" w:cs="TH Sarabun New" w:hint="cs"/>
          <w:kern w:val="0"/>
          <w:sz w:val="20"/>
          <w:szCs w:val="20"/>
          <w14:ligatures w14:val="none"/>
        </w:rPr>
        <w:t>N</w:t>
      </w:r>
      <w:r w:rsidRPr="006862E6">
        <w:rPr>
          <w:rFonts w:ascii="TH Sarabun New" w:eastAsia="Times New Roman" w:hAnsi="TH Sarabun New" w:cs="TH Sarabun New" w:hint="cs"/>
          <w:kern w:val="0"/>
          <w:szCs w:val="24"/>
          <w14:ligatures w14:val="none"/>
        </w:rPr>
        <w:t xml:space="preserve"> securities relative to a small number of common factors, rather than relative to every other security.</w:t>
      </w:r>
    </w:p>
    <w:p w14:paraId="33BB82AA" w14:textId="77777777" w:rsidR="006862E6" w:rsidRPr="006862E6" w:rsidRDefault="006862E6" w:rsidP="006862E6">
      <w:pPr>
        <w:numPr>
          <w:ilvl w:val="0"/>
          <w:numId w:val="8"/>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Parameter Estimation:</w:t>
      </w:r>
      <w:r w:rsidRPr="006862E6">
        <w:rPr>
          <w:rFonts w:ascii="TH Sarabun New" w:eastAsia="Times New Roman" w:hAnsi="TH Sarabun New" w:cs="TH Sarabun New" w:hint="cs"/>
          <w:kern w:val="0"/>
          <w:szCs w:val="24"/>
          <w14:ligatures w14:val="none"/>
        </w:rPr>
        <w:t xml:space="preserve"> The output of a mean-variance optimizer is highly sensitive to its inputs, a phenomenon often described as the "garbage in, garbage out" syndrome. While variances and covariances of returns tend to be relatively stable over time, accurately estimating expected returns is notoriously difficult. Small errors in expected return estimates can lead to extreme and unstable portfolio allocations, undermining the practical utility of the model.</w:t>
      </w:r>
    </w:p>
    <w:p w14:paraId="3B9091CB"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Two primary schools of thought have emerged to address these challenges and improve the real-world application of MPT:</w:t>
      </w:r>
    </w:p>
    <w:p w14:paraId="3435F103" w14:textId="77777777" w:rsidR="006862E6" w:rsidRPr="006862E6" w:rsidRDefault="006862E6" w:rsidP="006862E6">
      <w:pPr>
        <w:numPr>
          <w:ilvl w:val="0"/>
          <w:numId w:val="9"/>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 xml:space="preserve">One approach focuses on </w:t>
      </w:r>
      <w:r w:rsidRPr="006862E6">
        <w:rPr>
          <w:rFonts w:ascii="TH Sarabun New" w:eastAsia="Times New Roman" w:hAnsi="TH Sarabun New" w:cs="TH Sarabun New" w:hint="cs"/>
          <w:b/>
          <w:bCs/>
          <w:kern w:val="0"/>
          <w:szCs w:val="24"/>
          <w14:ligatures w14:val="none"/>
        </w:rPr>
        <w:t>improving the optimization process within the classic single-period framework</w:t>
      </w:r>
      <w:r w:rsidRPr="006862E6">
        <w:rPr>
          <w:rFonts w:ascii="TH Sarabun New" w:eastAsia="Times New Roman" w:hAnsi="TH Sarabun New" w:cs="TH Sarabun New" w:hint="cs"/>
          <w:kern w:val="0"/>
          <w:szCs w:val="24"/>
          <w14:ligatures w14:val="none"/>
        </w:rPr>
        <w:t>. This includes using more sophisticated techniques for parameter estimation, such as robust statistics, Bayesian methods (like the Black-Litterman model), and machine learning, as well as employing robust optimization techniques that are less sensitive to input errors.</w:t>
      </w:r>
    </w:p>
    <w:p w14:paraId="146BD8E2" w14:textId="77777777" w:rsidR="006862E6" w:rsidRPr="006862E6" w:rsidRDefault="006862E6" w:rsidP="006862E6">
      <w:pPr>
        <w:numPr>
          <w:ilvl w:val="0"/>
          <w:numId w:val="9"/>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 xml:space="preserve">A second approach involves </w:t>
      </w:r>
      <w:r w:rsidRPr="006862E6">
        <w:rPr>
          <w:rFonts w:ascii="TH Sarabun New" w:eastAsia="Times New Roman" w:hAnsi="TH Sarabun New" w:cs="TH Sarabun New" w:hint="cs"/>
          <w:b/>
          <w:bCs/>
          <w:kern w:val="0"/>
          <w:szCs w:val="24"/>
          <w14:ligatures w14:val="none"/>
        </w:rPr>
        <w:t>designing multi-period, multi-scenario stochastic programming models</w:t>
      </w:r>
      <w:r w:rsidRPr="006862E6">
        <w:rPr>
          <w:rFonts w:ascii="TH Sarabun New" w:eastAsia="Times New Roman" w:hAnsi="TH Sarabun New" w:cs="TH Sarabun New" w:hint="cs"/>
          <w:kern w:val="0"/>
          <w:szCs w:val="24"/>
          <w14:ligatures w14:val="none"/>
        </w:rPr>
        <w:t xml:space="preserve">. This method moves beyond the static "buy and hold" assumption to better reflect the dynamic nature of financial markets. It often </w:t>
      </w:r>
      <w:r w:rsidRPr="006862E6">
        <w:rPr>
          <w:rFonts w:ascii="TH Sarabun New" w:eastAsia="Times New Roman" w:hAnsi="TH Sarabun New" w:cs="TH Sarabun New" w:hint="cs"/>
          <w:kern w:val="0"/>
          <w:szCs w:val="24"/>
          <w14:ligatures w14:val="none"/>
        </w:rPr>
        <w:lastRenderedPageBreak/>
        <w:t>emphasizes risk management by focusing on avoiding disaster scenarios in adverse market conditions, thereby modeling the left tail of the return distribution more accurately.</w:t>
      </w:r>
    </w:p>
    <w:p w14:paraId="086C12F2"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Furthermore, some advancements have moved "Beyond MPT" by incorporating alternative optimization criteria. These include adding higher statistical moments like skewness and kurtosis, using different risk measures such as Value at Risk (VaR), and integrating insights from behavioral finance through behavioral portfolio theory. These ongoing developments continue to refine and extend Markowitz's original, powerful framework.</w:t>
      </w:r>
    </w:p>
    <w:p w14:paraId="351F9446" w14:textId="77777777" w:rsidR="006862E6" w:rsidRPr="006862E6" w:rsidRDefault="006862E6" w:rsidP="006862E6">
      <w:pPr>
        <w:spacing w:before="100" w:beforeAutospacing="1" w:after="100" w:afterAutospacing="1" w:line="240" w:lineRule="auto"/>
        <w:outlineLvl w:val="1"/>
        <w:rPr>
          <w:rFonts w:ascii="TH Sarabun New" w:eastAsia="Times New Roman" w:hAnsi="TH Sarabun New" w:cs="TH Sarabun New" w:hint="cs"/>
          <w:b/>
          <w:bCs/>
          <w:kern w:val="0"/>
          <w:sz w:val="36"/>
          <w:szCs w:val="36"/>
          <w14:ligatures w14:val="none"/>
        </w:rPr>
      </w:pPr>
      <w:r w:rsidRPr="006862E6">
        <w:rPr>
          <w:rFonts w:ascii="TH Sarabun New" w:eastAsia="Times New Roman" w:hAnsi="TH Sarabun New" w:cs="TH Sarabun New" w:hint="cs"/>
          <w:b/>
          <w:bCs/>
          <w:kern w:val="0"/>
          <w:sz w:val="36"/>
          <w:szCs w:val="36"/>
          <w14:ligatures w14:val="none"/>
        </w:rPr>
        <w:t>7.0 Conclusion: Core Concepts Synthesized</w:t>
      </w:r>
    </w:p>
    <w:p w14:paraId="17880A6A"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Modern Portfolio Theory fundamentally redefined investment management by shifting the focus from individual security selection to the construction of diversified portfolios optimized for a given level of risk. It introduced a rigorous mathematical framework for quantifying the trade-off between risk and return, establishing the core principles that underpin quantitative finance. Subsequent developments, from the Capital Asset Pricing Model to multi-factor equilibrium theories, built upon this foundation to explain how assets are priced in a market of rational investors. While practical challenges related to dimensionality and parameter estimation persist, ongoing advancements in optimization and modeling continue to enhance its applicability, ensuring MPT remains a cornerstone of financial theory and practice.</w:t>
      </w:r>
    </w:p>
    <w:p w14:paraId="590434D6" w14:textId="77777777" w:rsidR="006862E6" w:rsidRPr="006862E6" w:rsidRDefault="006862E6" w:rsidP="006862E6">
      <w:p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kern w:val="0"/>
          <w:szCs w:val="24"/>
          <w14:ligatures w14:val="none"/>
        </w:rPr>
        <w:t>The following is a synthesized list of the most critical concepts of Modern Portfolio Theory covered in this document:</w:t>
      </w:r>
    </w:p>
    <w:p w14:paraId="116BD5A7" w14:textId="77777777" w:rsidR="006862E6" w:rsidRPr="006862E6" w:rsidRDefault="006862E6" w:rsidP="006862E6">
      <w:pPr>
        <w:numPr>
          <w:ilvl w:val="0"/>
          <w:numId w:val="10"/>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The Risk-Return Trade-off and Diversification:</w:t>
      </w:r>
      <w:r w:rsidRPr="006862E6">
        <w:rPr>
          <w:rFonts w:ascii="TH Sarabun New" w:eastAsia="Times New Roman" w:hAnsi="TH Sarabun New" w:cs="TH Sarabun New" w:hint="cs"/>
          <w:kern w:val="0"/>
          <w:szCs w:val="24"/>
          <w14:ligatures w14:val="none"/>
        </w:rPr>
        <w:t xml:space="preserve"> The foundational principles that higher returns require greater risk, and that portfolio risk can be systematically reduced by combining assets with less-than-perfect correlation.</w:t>
      </w:r>
    </w:p>
    <w:p w14:paraId="70F02E53" w14:textId="77777777" w:rsidR="006862E6" w:rsidRPr="006862E6" w:rsidRDefault="006862E6" w:rsidP="006862E6">
      <w:pPr>
        <w:numPr>
          <w:ilvl w:val="0"/>
          <w:numId w:val="10"/>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Mean-Variance Optimization and the Efficient Frontier:</w:t>
      </w:r>
      <w:r w:rsidRPr="006862E6">
        <w:rPr>
          <w:rFonts w:ascii="TH Sarabun New" w:eastAsia="Times New Roman" w:hAnsi="TH Sarabun New" w:cs="TH Sarabun New" w:hint="cs"/>
          <w:kern w:val="0"/>
          <w:szCs w:val="24"/>
          <w14:ligatures w14:val="none"/>
        </w:rPr>
        <w:t xml:space="preserve"> The core problem of MPT, which seeks to find portfolios that offer the highest return for a given level of risk. The set of these optimal portfolios constitutes the efficient frontier.</w:t>
      </w:r>
    </w:p>
    <w:p w14:paraId="492E0B01" w14:textId="77777777" w:rsidR="006862E6" w:rsidRPr="006862E6" w:rsidRDefault="006862E6" w:rsidP="006862E6">
      <w:pPr>
        <w:numPr>
          <w:ilvl w:val="0"/>
          <w:numId w:val="10"/>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The Role of the Risk-Free Asset and the Tangency Portfolio:</w:t>
      </w:r>
      <w:r w:rsidRPr="006862E6">
        <w:rPr>
          <w:rFonts w:ascii="TH Sarabun New" w:eastAsia="Times New Roman" w:hAnsi="TH Sarabun New" w:cs="TH Sarabun New" w:hint="cs"/>
          <w:kern w:val="0"/>
          <w:szCs w:val="24"/>
          <w14:ligatures w14:val="none"/>
        </w:rPr>
        <w:t xml:space="preserve"> The introduction of a risk-free asset simplifies the optimization problem to finding the single "tangency portfolio" of risky assets that, when combined with the risk-free asset, provides the best possible risk-return trade-off.</w:t>
      </w:r>
    </w:p>
    <w:p w14:paraId="066911F0" w14:textId="77777777" w:rsidR="006862E6" w:rsidRPr="006862E6" w:rsidRDefault="006862E6" w:rsidP="006862E6">
      <w:pPr>
        <w:numPr>
          <w:ilvl w:val="0"/>
          <w:numId w:val="10"/>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The Sharpe Ratio:</w:t>
      </w:r>
      <w:r w:rsidRPr="006862E6">
        <w:rPr>
          <w:rFonts w:ascii="TH Sarabun New" w:eastAsia="Times New Roman" w:hAnsi="TH Sarabun New" w:cs="TH Sarabun New" w:hint="cs"/>
          <w:kern w:val="0"/>
          <w:szCs w:val="24"/>
          <w14:ligatures w14:val="none"/>
        </w:rPr>
        <w:t xml:space="preserve"> The key measure of risk-adjusted performance, representing the excess return earned per unit of total risk. The optimal risky portfolio is the one that maximizes this ratio.</w:t>
      </w:r>
    </w:p>
    <w:p w14:paraId="07E1DF3C" w14:textId="77777777" w:rsidR="006862E6" w:rsidRPr="006862E6" w:rsidRDefault="006862E6" w:rsidP="006862E6">
      <w:pPr>
        <w:numPr>
          <w:ilvl w:val="0"/>
          <w:numId w:val="10"/>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The Capital Asset Pricing Model (CAPM):</w:t>
      </w:r>
      <w:r w:rsidRPr="006862E6">
        <w:rPr>
          <w:rFonts w:ascii="TH Sarabun New" w:eastAsia="Times New Roman" w:hAnsi="TH Sarabun New" w:cs="TH Sarabun New" w:hint="cs"/>
          <w:kern w:val="0"/>
          <w:szCs w:val="24"/>
          <w14:ligatures w14:val="none"/>
        </w:rPr>
        <w:t xml:space="preserve"> An equilibrium model derived from MPT that distinguishes between diversifiable </w:t>
      </w:r>
      <w:r w:rsidRPr="006862E6">
        <w:rPr>
          <w:rFonts w:ascii="TH Sarabun New" w:eastAsia="Times New Roman" w:hAnsi="TH Sarabun New" w:cs="TH Sarabun New" w:hint="cs"/>
          <w:b/>
          <w:bCs/>
          <w:kern w:val="0"/>
          <w:szCs w:val="24"/>
          <w14:ligatures w14:val="none"/>
        </w:rPr>
        <w:t>idiosyncratic risk</w:t>
      </w:r>
      <w:r w:rsidRPr="006862E6">
        <w:rPr>
          <w:rFonts w:ascii="TH Sarabun New" w:eastAsia="Times New Roman" w:hAnsi="TH Sarabun New" w:cs="TH Sarabun New" w:hint="cs"/>
          <w:kern w:val="0"/>
          <w:szCs w:val="24"/>
          <w14:ligatures w14:val="none"/>
        </w:rPr>
        <w:t xml:space="preserve"> and non-diversifiable </w:t>
      </w:r>
      <w:r w:rsidRPr="006862E6">
        <w:rPr>
          <w:rFonts w:ascii="TH Sarabun New" w:eastAsia="Times New Roman" w:hAnsi="TH Sarabun New" w:cs="TH Sarabun New" w:hint="cs"/>
          <w:b/>
          <w:bCs/>
          <w:kern w:val="0"/>
          <w:szCs w:val="24"/>
          <w14:ligatures w14:val="none"/>
        </w:rPr>
        <w:t>systematic risk</w:t>
      </w:r>
      <w:r w:rsidRPr="006862E6">
        <w:rPr>
          <w:rFonts w:ascii="TH Sarabun New" w:eastAsia="Times New Roman" w:hAnsi="TH Sarabun New" w:cs="TH Sarabun New" w:hint="cs"/>
          <w:kern w:val="0"/>
          <w:szCs w:val="24"/>
          <w14:ligatures w14:val="none"/>
        </w:rPr>
        <w:t>, concluding that only systematic risk is rewarded by the market.</w:t>
      </w:r>
    </w:p>
    <w:p w14:paraId="7F3DB95D" w14:textId="77777777" w:rsidR="006862E6" w:rsidRPr="006862E6" w:rsidRDefault="006862E6" w:rsidP="006862E6">
      <w:pPr>
        <w:numPr>
          <w:ilvl w:val="0"/>
          <w:numId w:val="10"/>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Performance Metrics:</w:t>
      </w:r>
      <w:r w:rsidRPr="006862E6">
        <w:rPr>
          <w:rFonts w:ascii="TH Sarabun New" w:eastAsia="Times New Roman" w:hAnsi="TH Sarabun New" w:cs="TH Sarabun New" w:hint="cs"/>
          <w:kern w:val="0"/>
          <w:szCs w:val="24"/>
          <w14:ligatures w14:val="none"/>
        </w:rPr>
        <w:t xml:space="preserve"> Tools like </w:t>
      </w:r>
      <w:r w:rsidRPr="006862E6">
        <w:rPr>
          <w:rFonts w:ascii="TH Sarabun New" w:eastAsia="Times New Roman" w:hAnsi="TH Sarabun New" w:cs="TH Sarabun New" w:hint="cs"/>
          <w:b/>
          <w:bCs/>
          <w:kern w:val="0"/>
          <w:szCs w:val="24"/>
          <w14:ligatures w14:val="none"/>
        </w:rPr>
        <w:t>Jensen's Alpha</w:t>
      </w:r>
      <w:r w:rsidRPr="006862E6">
        <w:rPr>
          <w:rFonts w:ascii="TH Sarabun New" w:eastAsia="Times New Roman" w:hAnsi="TH Sarabun New" w:cs="TH Sarabun New" w:hint="cs"/>
          <w:kern w:val="0"/>
          <w:szCs w:val="24"/>
          <w14:ligatures w14:val="none"/>
        </w:rPr>
        <w:t xml:space="preserve">, which measures active return, and the </w:t>
      </w:r>
      <w:r w:rsidRPr="006862E6">
        <w:rPr>
          <w:rFonts w:ascii="TH Sarabun New" w:eastAsia="Times New Roman" w:hAnsi="TH Sarabun New" w:cs="TH Sarabun New" w:hint="cs"/>
          <w:b/>
          <w:bCs/>
          <w:kern w:val="0"/>
          <w:szCs w:val="24"/>
          <w14:ligatures w14:val="none"/>
        </w:rPr>
        <w:t>Information Ratio</w:t>
      </w:r>
      <w:r w:rsidRPr="006862E6">
        <w:rPr>
          <w:rFonts w:ascii="TH Sarabun New" w:eastAsia="Times New Roman" w:hAnsi="TH Sarabun New" w:cs="TH Sarabun New" w:hint="cs"/>
          <w:kern w:val="0"/>
          <w:szCs w:val="24"/>
          <w14:ligatures w14:val="none"/>
        </w:rPr>
        <w:t>, which measures the efficiency of that active return, allow for sophisticated performance evaluation.</w:t>
      </w:r>
    </w:p>
    <w:p w14:paraId="7DFD2A4E" w14:textId="77777777" w:rsidR="006862E6" w:rsidRPr="006862E6" w:rsidRDefault="006862E6" w:rsidP="006862E6">
      <w:pPr>
        <w:numPr>
          <w:ilvl w:val="0"/>
          <w:numId w:val="10"/>
        </w:numPr>
        <w:spacing w:before="100" w:beforeAutospacing="1" w:after="100" w:afterAutospacing="1" w:line="240" w:lineRule="auto"/>
        <w:rPr>
          <w:rFonts w:ascii="TH Sarabun New" w:eastAsia="Times New Roman" w:hAnsi="TH Sarabun New" w:cs="TH Sarabun New" w:hint="cs"/>
          <w:kern w:val="0"/>
          <w:szCs w:val="24"/>
          <w14:ligatures w14:val="none"/>
        </w:rPr>
      </w:pPr>
      <w:r w:rsidRPr="006862E6">
        <w:rPr>
          <w:rFonts w:ascii="TH Sarabun New" w:eastAsia="Times New Roman" w:hAnsi="TH Sarabun New" w:cs="TH Sarabun New" w:hint="cs"/>
          <w:b/>
          <w:bCs/>
          <w:kern w:val="0"/>
          <w:szCs w:val="24"/>
          <w14:ligatures w14:val="none"/>
        </w:rPr>
        <w:t>Primary Practical Challenges:</w:t>
      </w:r>
      <w:r w:rsidRPr="006862E6">
        <w:rPr>
          <w:rFonts w:ascii="TH Sarabun New" w:eastAsia="Times New Roman" w:hAnsi="TH Sarabun New" w:cs="TH Sarabun New" w:hint="cs"/>
          <w:kern w:val="0"/>
          <w:szCs w:val="24"/>
          <w14:ligatures w14:val="none"/>
        </w:rPr>
        <w:t xml:space="preserve"> The core difficulties in applying MPT, namely the computational burden of </w:t>
      </w:r>
      <w:r w:rsidRPr="006862E6">
        <w:rPr>
          <w:rFonts w:ascii="TH Sarabun New" w:eastAsia="Times New Roman" w:hAnsi="TH Sarabun New" w:cs="TH Sarabun New" w:hint="cs"/>
          <w:b/>
          <w:bCs/>
          <w:kern w:val="0"/>
          <w:szCs w:val="24"/>
          <w14:ligatures w14:val="none"/>
        </w:rPr>
        <w:t>dimensionality</w:t>
      </w:r>
      <w:r w:rsidRPr="006862E6">
        <w:rPr>
          <w:rFonts w:ascii="TH Sarabun New" w:eastAsia="Times New Roman" w:hAnsi="TH Sarabun New" w:cs="TH Sarabun New" w:hint="cs"/>
          <w:kern w:val="0"/>
          <w:szCs w:val="24"/>
          <w14:ligatures w14:val="none"/>
        </w:rPr>
        <w:t xml:space="preserve"> and the sensitivity of the model to errors in </w:t>
      </w:r>
      <w:r w:rsidRPr="006862E6">
        <w:rPr>
          <w:rFonts w:ascii="TH Sarabun New" w:eastAsia="Times New Roman" w:hAnsi="TH Sarabun New" w:cs="TH Sarabun New" w:hint="cs"/>
          <w:b/>
          <w:bCs/>
          <w:kern w:val="0"/>
          <w:szCs w:val="24"/>
          <w14:ligatures w14:val="none"/>
        </w:rPr>
        <w:t>parameter estimation</w:t>
      </w:r>
      <w:r w:rsidRPr="006862E6">
        <w:rPr>
          <w:rFonts w:ascii="TH Sarabun New" w:eastAsia="Times New Roman" w:hAnsi="TH Sarabun New" w:cs="TH Sarabun New" w:hint="cs"/>
          <w:kern w:val="0"/>
          <w:szCs w:val="24"/>
          <w14:ligatures w14:val="none"/>
        </w:rPr>
        <w:t>, especially for expected returns.</w:t>
      </w:r>
    </w:p>
    <w:p w14:paraId="637F4D77" w14:textId="77777777" w:rsidR="00FA2147" w:rsidRPr="006862E6" w:rsidRDefault="00FA2147">
      <w:pPr>
        <w:rPr>
          <w:rFonts w:ascii="TH Sarabun New" w:hAnsi="TH Sarabun New" w:cs="TH Sarabun New" w:hint="cs"/>
        </w:rPr>
      </w:pPr>
    </w:p>
    <w:sectPr w:rsidR="00FA2147" w:rsidRPr="006862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H Sarabun New">
    <w:panose1 w:val="020B0604020202020204"/>
    <w:charset w:val="DE"/>
    <w:family w:val="swiss"/>
    <w:pitch w:val="variable"/>
    <w:sig w:usb0="A100006F" w:usb1="5000205A" w:usb2="00000000" w:usb3="00000000" w:csb0="00010183"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7B3F"/>
    <w:multiLevelType w:val="multilevel"/>
    <w:tmpl w:val="0A0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24756"/>
    <w:multiLevelType w:val="multilevel"/>
    <w:tmpl w:val="F7A8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2C4C89"/>
    <w:multiLevelType w:val="multilevel"/>
    <w:tmpl w:val="B98A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E539F"/>
    <w:multiLevelType w:val="multilevel"/>
    <w:tmpl w:val="8A40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805B2"/>
    <w:multiLevelType w:val="multilevel"/>
    <w:tmpl w:val="7A74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A6E7A"/>
    <w:multiLevelType w:val="multilevel"/>
    <w:tmpl w:val="414A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AE6C5D"/>
    <w:multiLevelType w:val="multilevel"/>
    <w:tmpl w:val="DD90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25662"/>
    <w:multiLevelType w:val="multilevel"/>
    <w:tmpl w:val="7BB2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1A00B7"/>
    <w:multiLevelType w:val="multilevel"/>
    <w:tmpl w:val="F1C0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0416BC"/>
    <w:multiLevelType w:val="multilevel"/>
    <w:tmpl w:val="D41A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872">
    <w:abstractNumId w:val="8"/>
  </w:num>
  <w:num w:numId="2" w16cid:durableId="219168761">
    <w:abstractNumId w:val="2"/>
  </w:num>
  <w:num w:numId="3" w16cid:durableId="874198166">
    <w:abstractNumId w:val="7"/>
  </w:num>
  <w:num w:numId="4" w16cid:durableId="1393506123">
    <w:abstractNumId w:val="4"/>
  </w:num>
  <w:num w:numId="5" w16cid:durableId="1197545626">
    <w:abstractNumId w:val="0"/>
  </w:num>
  <w:num w:numId="6" w16cid:durableId="978456395">
    <w:abstractNumId w:val="9"/>
  </w:num>
  <w:num w:numId="7" w16cid:durableId="2001034339">
    <w:abstractNumId w:val="3"/>
  </w:num>
  <w:num w:numId="8" w16cid:durableId="1724399928">
    <w:abstractNumId w:val="1"/>
  </w:num>
  <w:num w:numId="9" w16cid:durableId="1964145027">
    <w:abstractNumId w:val="5"/>
  </w:num>
  <w:num w:numId="10" w16cid:durableId="19230972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2E6"/>
    <w:rsid w:val="003867EA"/>
    <w:rsid w:val="006862E6"/>
    <w:rsid w:val="00EA7AAF"/>
    <w:rsid w:val="00FA2147"/>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78160A41"/>
  <w15:chartTrackingRefBased/>
  <w15:docId w15:val="{9C9B671D-F1CB-AF41-9FDA-2FF775C4B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6862E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862E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862E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86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2E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6862E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862E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86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2E6"/>
    <w:rPr>
      <w:rFonts w:eastAsiaTheme="majorEastAsia" w:cstheme="majorBidi"/>
      <w:color w:val="272727" w:themeColor="text1" w:themeTint="D8"/>
    </w:rPr>
  </w:style>
  <w:style w:type="paragraph" w:styleId="Title">
    <w:name w:val="Title"/>
    <w:basedOn w:val="Normal"/>
    <w:next w:val="Normal"/>
    <w:link w:val="TitleChar"/>
    <w:uiPriority w:val="10"/>
    <w:qFormat/>
    <w:rsid w:val="006862E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862E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862E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862E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862E6"/>
    <w:pPr>
      <w:spacing w:before="160"/>
      <w:jc w:val="center"/>
    </w:pPr>
    <w:rPr>
      <w:i/>
      <w:iCs/>
      <w:color w:val="404040" w:themeColor="text1" w:themeTint="BF"/>
    </w:rPr>
  </w:style>
  <w:style w:type="character" w:customStyle="1" w:styleId="QuoteChar">
    <w:name w:val="Quote Char"/>
    <w:basedOn w:val="DefaultParagraphFont"/>
    <w:link w:val="Quote"/>
    <w:uiPriority w:val="29"/>
    <w:rsid w:val="006862E6"/>
    <w:rPr>
      <w:rFonts w:cs="Angsana New"/>
      <w:i/>
      <w:iCs/>
      <w:color w:val="404040" w:themeColor="text1" w:themeTint="BF"/>
    </w:rPr>
  </w:style>
  <w:style w:type="paragraph" w:styleId="ListParagraph">
    <w:name w:val="List Paragraph"/>
    <w:basedOn w:val="Normal"/>
    <w:uiPriority w:val="34"/>
    <w:qFormat/>
    <w:rsid w:val="006862E6"/>
    <w:pPr>
      <w:ind w:left="720"/>
      <w:contextualSpacing/>
    </w:pPr>
  </w:style>
  <w:style w:type="character" w:styleId="IntenseEmphasis">
    <w:name w:val="Intense Emphasis"/>
    <w:basedOn w:val="DefaultParagraphFont"/>
    <w:uiPriority w:val="21"/>
    <w:qFormat/>
    <w:rsid w:val="006862E6"/>
    <w:rPr>
      <w:i/>
      <w:iCs/>
      <w:color w:val="0F4761" w:themeColor="accent1" w:themeShade="BF"/>
    </w:rPr>
  </w:style>
  <w:style w:type="paragraph" w:styleId="IntenseQuote">
    <w:name w:val="Intense Quote"/>
    <w:basedOn w:val="Normal"/>
    <w:next w:val="Normal"/>
    <w:link w:val="IntenseQuoteChar"/>
    <w:uiPriority w:val="30"/>
    <w:qFormat/>
    <w:rsid w:val="00686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2E6"/>
    <w:rPr>
      <w:rFonts w:cs="Angsana New"/>
      <w:i/>
      <w:iCs/>
      <w:color w:val="0F4761" w:themeColor="accent1" w:themeShade="BF"/>
    </w:rPr>
  </w:style>
  <w:style w:type="character" w:styleId="IntenseReference">
    <w:name w:val="Intense Reference"/>
    <w:basedOn w:val="DefaultParagraphFont"/>
    <w:uiPriority w:val="32"/>
    <w:qFormat/>
    <w:rsid w:val="006862E6"/>
    <w:rPr>
      <w:b/>
      <w:bCs/>
      <w:smallCaps/>
      <w:color w:val="0F4761" w:themeColor="accent1" w:themeShade="BF"/>
      <w:spacing w:val="5"/>
    </w:rPr>
  </w:style>
  <w:style w:type="paragraph" w:styleId="NormalWeb">
    <w:name w:val="Normal (Web)"/>
    <w:basedOn w:val="Normal"/>
    <w:uiPriority w:val="99"/>
    <w:semiHidden/>
    <w:unhideWhenUsed/>
    <w:rsid w:val="006862E6"/>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HTMLCode">
    <w:name w:val="HTML Code"/>
    <w:basedOn w:val="DefaultParagraphFont"/>
    <w:uiPriority w:val="99"/>
    <w:semiHidden/>
    <w:unhideWhenUsed/>
    <w:rsid w:val="006862E6"/>
    <w:rPr>
      <w:rFonts w:ascii="Courier New" w:eastAsia="Times New Roman" w:hAnsi="Courier New" w:cs="Courier New"/>
      <w:sz w:val="20"/>
      <w:szCs w:val="20"/>
    </w:rPr>
  </w:style>
  <w:style w:type="table" w:styleId="GridTable4-Accent2">
    <w:name w:val="Grid Table 4 Accent 2"/>
    <w:basedOn w:val="TableNormal"/>
    <w:uiPriority w:val="49"/>
    <w:rsid w:val="006862E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2954</Words>
  <Characters>16839</Characters>
  <Application>Microsoft Office Word</Application>
  <DocSecurity>0</DocSecurity>
  <Lines>140</Lines>
  <Paragraphs>39</Paragraphs>
  <ScaleCrop>false</ScaleCrop>
  <Company/>
  <LinksUpToDate>false</LinksUpToDate>
  <CharactersWithSpaces>19754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Samanyaporn</dc:creator>
  <cp:keywords/>
  <dc:description/>
  <cp:lastModifiedBy>David Samanyaporn</cp:lastModifiedBy>
  <cp:revision>1</cp:revision>
  <dcterms:created xsi:type="dcterms:W3CDTF">2025-12-15T03:48:00Z</dcterms:created>
  <dcterms:modified xsi:type="dcterms:W3CDTF">2025-12-15T03:49:00Z</dcterms:modified>
</cp:coreProperties>
</file>