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week’s reading deals with the re-use of built software system.  As stated in the discussion question, although software can be re-used, this raises numerous intellectual property right issues.  Since intellectual property right laws vary by country, I will discuss the questions posed in light of the United States legal system.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a customer pays a software contractor to develop a system, who has the right to re-use the developed code?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There are some very specific exceptions to this under the law, but generally a creator of an intellectual work, like software, owns the copyright (“Copyright &amp; Fair Use”, 2015).  If the creator develops the software in his/her role as an employee, the employer owns the work.  If the creator is an independent contractor, then the creator owns the work unless the contractor signs a written document transferring copyright to the commissioning customer.  There are exceptions to this, as I stated earlier, which automatically transfer copyright to the customer.  They are: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(1) a part of a larger literary work, such as an article in a magazine or a poem or story in an anthology;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(2) part of a motion picture or other audiovisual work, such as a screenplay;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(3) a translation;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(4) a supplementary work such as an afterword, an introduction, chart, editorial note, bibliography, appendix or index;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(5) a compilation;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(6) an instructional text;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(7) a test or answer material for a test; or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(8) an atlas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(“Copyright &amp; Fair Use”, 2015).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Does the software contractor have the right to use that code as a basis for a generic component?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Based on the stipulations above, as long as the contractor has not signed a document transferring copyright to the commissioning customer, and the code that the contractor built is not just a module of a larger system, then, yes, the contractor can re-use the code to create a generic component in other works the contractor is commissioned to do.  The catch is the contractor needs to ensure that he/she is protecting the copyright by knowing the intended use of the work and/or registering the work with the U.S. Copyright Office.  There is an important reason for registering a work for copyright -- if someone infringes on your copyright you have no legal recourse without having registered the work (“Copyright &amp; Fair Use”, 2015).  The automatic copyright is not a basis for lawsuit.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payment mechanisms might be used to reimburse providers of reusable components?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One mechanism that has been used to reimburse providers of reusable components has be a royalty for each use or sale (Yee, n.d.).  This method have traditionally been used in the music industry and transfers well to the software industry.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Maintaining and exercising one’s rights to his/her intellectual is complicated enough within the U.S. legal system.  Considering that a commissioning customer and an independant contractor can be in different countries, even more thought needs be given to intellectual property issues. 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“Copyright &amp; Fair Use”.  (2015).  Stanford University Libraries.  Retrieved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http://fairuse.stanford.edu/overview/faqs/copyright-ownership/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Carlson, B. A. (2006).  “Managing reusable software assets”.  US 7149734 B2.  Retrieved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http://www.google.com/patents/US7149734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Yee, V.  (n.d.).  COSC412 “412nov8.“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https://view.officeapps.live.com/op/view.aspx?src=http%3A%2F%2Fscfighter.home.mindspring.com%2Ffilez%2F412%2F412nov8.doc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fairuse.stanford.edu/overview/faqs/copyright-ownership/" TargetMode="External"/><Relationship Id="rId7" Type="http://schemas.openxmlformats.org/officeDocument/2006/relationships/hyperlink" Target="http://www.google.com/patents/US7149734" TargetMode="External"/><Relationship Id="rId8" Type="http://schemas.openxmlformats.org/officeDocument/2006/relationships/hyperlink" Target="https://view.officeapps.live.com/op/view.aspx?src=http%3A%2F%2Fscfighter.home.mindspring.com%2Ffilez%2F412%2F412nov8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