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An Integer Scorecard for Ovarian Cancer Risk Prediction Outperforms ROMA and Complex Machine Learning Models on Cross-Cohort External Validation: A Three-Population Retrospective Study</w:t>
      </w:r>
    </w:p>
    <w:p>
      <w:pPr>
        <w:pStyle w:val="Heading1"/>
      </w:pPr>
      <w:r>
        <w:rPr>
          <w:rFonts w:ascii="Times New Roman" w:hAnsi="Times New Roman"/>
        </w:rPr>
        <w:t>Abstract</w:t>
      </w:r>
    </w:p>
    <w:p>
      <w:r>
        <w:rPr>
          <w:rFonts w:ascii="Times New Roman" w:hAnsi="Times New Roman"/>
          <w:b/>
          <w:sz w:val="24"/>
        </w:rPr>
        <w:t xml:space="preserve">Background: </w:t>
      </w:r>
      <w:r>
        <w:rPr>
          <w:rFonts w:ascii="Times New Roman" w:hAnsi="Times New Roman"/>
          <w:sz w:val="24"/>
        </w:rPr>
        <w:t xml:space="preserve"> Ovarian cancer risk stratification relies on serum biomarkers CA125 and HE4, interpreted through the Risk of Ovarian Malignancy Algorithm (ROMA). However, ROMA requires logarithmic computation at the point of care, was calibrated on Western populations, and provides no natural risk tiers. Machine learning models have been proposed as alternatives but frequently overfit on small clinical datasets, achieving near-perfect internal performance that deteriorates substantially on external validation.</w:t>
      </w:r>
    </w:p>
    <w:p>
      <w:r>
        <w:rPr>
          <w:rFonts w:ascii="Times New Roman" w:hAnsi="Times New Roman"/>
          <w:b/>
          <w:sz w:val="24"/>
        </w:rPr>
        <w:t xml:space="preserve">Methods: </w:t>
      </w:r>
      <w:r>
        <w:rPr>
          <w:rFonts w:ascii="Times New Roman" w:hAnsi="Times New Roman"/>
          <w:sz w:val="24"/>
        </w:rPr>
        <w:t xml:space="preserve"> We analyzed 905 patients across three independent Asian cohorts: a Chinese primary training cohort (n = 349, 49% cancer), a West China external validation cohort (n = 380, 49% cancer), and a Japanese external validation cohort (n = 177, 15% cancer). Missing biomarker values were imputed using k-nearest neighbors (k = 5) stratified by class label. Four core features (CA125, HE4, Age, Menopausal status) were transformed to a uniform distribution via QuantileTransformer, discretized into three quantile bins, and fitted with L2-regularized logistic regression (C = 1.5) to produce integer coefficients scaled to [-5, 5]. Model robustness was tested under proportional Gaussian measurement noise (sigma = 0-30%) across 100 Monte Carlo perturbations per noise level. Performance was compared against ROMA, XGBoost, CatBoost, and Random Forest.</w:t>
      </w:r>
    </w:p>
    <w:p>
      <w:r>
        <w:rPr>
          <w:rFonts w:ascii="Times New Roman" w:hAnsi="Times New Roman"/>
          <w:b/>
          <w:sz w:val="24"/>
        </w:rPr>
        <w:t xml:space="preserve">Results: </w:t>
      </w:r>
      <w:r>
        <w:rPr>
          <w:rFonts w:ascii="Times New Roman" w:hAnsi="Times New Roman"/>
          <w:sz w:val="24"/>
        </w:rPr>
        <w:t xml:space="preserve"> The integer scorecard retained 7 of 12 non-zero weights and achieved AUROC of 0.903 (internal, 0% noise), 0.929 (West China), and 0.769 (Japan). On the primary external validation, the scorecard outperformed ROMA by +0.054 (p = 0.002, bootstrap), XGBoost by +0.039 (p &lt; 0.001), CatBoost by +0.023 (p = 0.031), and Random Forest by +0.028 (p = 0.010). XGBoost exhibited substantial overfitting (AUROC 0.972 internal to 0.891 external, Delta = -0.081) and degraded 3.8x more than the scorecard under 30% noise (Delta = -0.098 vs. -0.026). The scorecard stratified West China patients into six clinically actionable risk tiers, with the highest tier (score &gt;= 7) achieving 100% cancer rate.</w:t>
      </w:r>
    </w:p>
    <w:p>
      <w:r>
        <w:rPr>
          <w:rFonts w:ascii="Times New Roman" w:hAnsi="Times New Roman"/>
          <w:b/>
          <w:sz w:val="24"/>
        </w:rPr>
        <w:t xml:space="preserve">Conclusions: </w:t>
      </w:r>
      <w:r>
        <w:rPr>
          <w:rFonts w:ascii="Times New Roman" w:hAnsi="Times New Roman"/>
          <w:sz w:val="24"/>
        </w:rPr>
        <w:t>An integer scorecard derived from quantile-binned biomarkers outperforms ROMA and complex machine learning models on external cross-cohort validation while providing bedside deployability, superior noise robustness, and natural risk stratification — demonstrating that distribution-aware preprocessing and conservative binning enable cross-population generalization where complex models overfit.</w:t>
      </w:r>
    </w:p>
    <w:p>
      <w:r>
        <w:rPr>
          <w:rFonts w:ascii="Times New Roman" w:hAnsi="Times New Roman"/>
          <w:b/>
          <w:sz w:val="24"/>
        </w:rPr>
        <w:t xml:space="preserve">Keywords: </w:t>
      </w:r>
      <w:r>
        <w:rPr>
          <w:rFonts w:ascii="Times New Roman" w:hAnsi="Times New Roman"/>
          <w:sz w:val="24"/>
        </w:rPr>
        <w:t xml:space="preserve"> ovarian cancer, ROMA, RiskSLIM, integer scorecard, CA125, HE4, external validation, machine learning, clinical decision support, laboratory drift</w:t>
      </w:r>
    </w:p>
    <w:p>
      <w:pPr>
        <w:pStyle w:val="Heading1"/>
      </w:pPr>
      <w:r>
        <w:rPr>
          <w:rFonts w:ascii="Times New Roman" w:hAnsi="Times New Roman"/>
        </w:rPr>
        <w:t>Background</w:t>
      </w:r>
    </w:p>
    <w:p>
      <w:r>
        <w:rPr>
          <w:rFonts w:ascii="Times New Roman" w:hAnsi="Times New Roman"/>
          <w:b w:val="0"/>
          <w:i w:val="0"/>
          <w:sz w:val="24"/>
        </w:rPr>
        <w:t>Ovarian cancer remains the most lethal gynecological malignancy, with approximately 314,000 new cases and 207,000 deaths annually worldwide [1]. Early detection is critical for survival — five-year survival exceeds 90% for stage I disease but falls below 30% for advanced-stage diagnoses. However, no population screening program has demonstrated mortality reduction, and clinical risk stratification for women presenting with pelvic masses relies heavily on serum biomarker interpretation.</w:t>
      </w:r>
    </w:p>
    <w:p>
      <w:r>
        <w:rPr>
          <w:rFonts w:ascii="Times New Roman" w:hAnsi="Times New Roman"/>
          <w:b w:val="0"/>
          <w:i w:val="0"/>
          <w:sz w:val="24"/>
        </w:rPr>
        <w:t>Two serum biomarkers form the cornerstone of ovarian cancer risk assessment. Cancer Antigen 125 (CA125), discovered by Bast et al. in 1983, is elevated in approximately 80% of epithelial ovarian cancers but has limited specificity, particularly in premenopausal women where benign conditions such as endometriosis and uterine fibroids also elevate CA125 levels [2]. Human Epididymis Protein 4 (HE4), identified as an ovarian cancer biomarker by Hellstrom et al. in 2003, demonstrates superior specificity to CA125, particularly in premenopausal women, and is less affected by benign gynecologic conditions [3].</w:t>
      </w:r>
    </w:p>
    <w:p>
      <w:r>
        <w:rPr>
          <w:rFonts w:ascii="Times New Roman" w:hAnsi="Times New Roman"/>
          <w:b w:val="0"/>
          <w:i w:val="0"/>
          <w:sz w:val="24"/>
        </w:rPr>
        <w:t>The Risk of Ovarian Malignancy Algorithm (ROMA), introduced by Moore et al. in 2009, combines CA125, HE4, and menopausal status using logarithmic transformations to produce a continuous risk probability [4]. The formula uses separate coefficient sets for pre- and post-menopausal patients, reflecting the known interaction between menopausal status and biomarker expression. ROMA has been validated across multiple international cohorts and is approved by the FDA for clinical use. However, ROMA presents three limitations: (1) it requires logarithmic computation at the point of care, preventing mental arithmetic at the bedside; (2) its fixed coefficients were calibrated on a predominantly Western population and may not optimally generalize to Asian cohorts with different biomarker distributions, assay calibrations, and disease prevalence [5]; and (3) as a continuous probability model, ROMA provides no natural stratification into discrete, clinically actionable risk tiers.</w:t>
      </w:r>
    </w:p>
    <w:p>
      <w:r>
        <w:rPr>
          <w:rFonts w:ascii="Times New Roman" w:hAnsi="Times New Roman"/>
          <w:b w:val="0"/>
          <w:i w:val="0"/>
          <w:sz w:val="24"/>
        </w:rPr>
        <w:t>Machine learning approaches have been proposed to improve upon ROMA's diagnostic accuracy. Kawakami et al. (2019) applied artificial intelligence to preoperative biomarker panels for ovarian cancer prediction [6]. Lu et al. (2020) compared multiple machine learning algorithms for ovarian cancer detection using clinical and biomarker features [7]. Arezzo et al. (2022) evaluated machine learning models applied to gynecological ultrasound data [8]. However, a well-documented pattern has emerged across clinical machine learning studies: models with high capacity achieve excellent internal discrimination on development datasets but fail to generalize across independent populations with different data distributions [9, 10]. Roberts et al. (2021) documented this phenomenon extensively in medical imaging, and Wynants et al. (2020) demonstrated that most COVID-19 prediction models exhibited high risk of bias due to overfitting and lack of external validation [11, 12].</w:t>
      </w:r>
    </w:p>
    <w:p>
      <w:r>
        <w:rPr>
          <w:rFonts w:ascii="Times New Roman" w:hAnsi="Times New Roman"/>
          <w:b w:val="0"/>
          <w:i w:val="0"/>
          <w:sz w:val="24"/>
        </w:rPr>
        <w:t>The RiskSLIM framework, introduced by Ustun and Rudin (2016), offers a principled alternative: integer scorecards optimized through mixed-integer programming to minimize classification loss under sparsity constraints, producing models with whole-integer coefficients that are directly interpretable by clinicians [13]. Rudin (2019) subsequently argued that high-stakes medical decisions should employ inherently interpretable models rather than post-hoc explanations of black-box systems [14]. While the full RiskSLIM optimization requires commercial optimization solvers and was developed on larger datasets, the core concept — integer-weighted clinical decision rules — provides an appealing framework for ovarian cancer risk stratification.</w:t>
      </w:r>
    </w:p>
    <w:p>
      <w:r>
        <w:rPr>
          <w:rFonts w:ascii="Times New Roman" w:hAnsi="Times New Roman"/>
          <w:b w:val="0"/>
          <w:i w:val="0"/>
          <w:sz w:val="24"/>
        </w:rPr>
        <w:t>In this study, we develop an integer scorecard methodology combining k-nearest neighbors (KNN) imputation, quantile transformation, conservative discretization into three bins, L2-regularized logistic regression for coefficient estimation, and integer rounding. We evaluate this approach against the clinical-standard ROMA and three widely-used machine learning models (XGBoost [15], CatBoost, Random Forest) across three independent Asian cohorts, stress-test all models under proportional Gaussian measurement noise simulating laboratory equipment calibration drift [16, 17], and provide bootstrap-based statistical significance testing with risk tier stratification.</w:t>
      </w:r>
    </w:p>
    <w:p>
      <w:pPr>
        <w:pStyle w:val="Heading1"/>
      </w:pPr>
      <w:r>
        <w:rPr>
          <w:rFonts w:ascii="Times New Roman" w:hAnsi="Times New Roman"/>
        </w:rPr>
        <w:t>Methods</w:t>
      </w:r>
    </w:p>
    <w:p>
      <w:pPr>
        <w:pStyle w:val="Heading2"/>
      </w:pPr>
      <w:r>
        <w:rPr>
          <w:rFonts w:ascii="Times New Roman" w:hAnsi="Times New Roman"/>
        </w:rPr>
        <w:t>Study Design and Cohorts</w:t>
      </w:r>
    </w:p>
    <w:p>
      <w:r>
        <w:rPr>
          <w:rFonts w:ascii="Times New Roman" w:hAnsi="Times New Roman"/>
          <w:b w:val="0"/>
          <w:i w:val="0"/>
          <w:sz w:val="24"/>
        </w:rPr>
        <w:t>This retrospective study analyzed three independent Asian cohorts with institutional ethics approval. All patient data were de-identified prior to analysis.</w:t>
      </w:r>
    </w:p>
    <w:p>
      <w:r>
        <w:rPr>
          <w:rFonts w:ascii="Times New Roman" w:hAnsi="Times New Roman"/>
          <w:b w:val="0"/>
          <w:i w:val="0"/>
          <w:sz w:val="24"/>
        </w:rPr>
        <w:t>Chinese Primary Cohort (n = 349). Patients from a Chinese hospital with histopathologically confirmed ovarian cancer (n = 171, 49.0%) or benign ovarian masses (n = 178, 51.0%). Serum CA125 and HE4 were measured preoperatively alongside 47 additional clinical variables including hematological markers (complete blood count, differential), liver function tests (ALT, AST, GGT, ALP), renal function (creatinine, BUN), tumor markers (CEA, AFP, CA19-9), electrolytes, and coagulation profiles. This cohort served as the training set for all models.</w:t>
      </w:r>
    </w:p>
    <w:p>
      <w:r>
        <w:rPr>
          <w:rFonts w:ascii="Times New Roman" w:hAnsi="Times New Roman"/>
          <w:b w:val="0"/>
          <w:i w:val="0"/>
          <w:sz w:val="24"/>
        </w:rPr>
        <w:t>West China External Validation Cohort (n = 380). An independent cohort from a West China hospital with ovarian cancer (n = 188, 49.5%) and benign ovarian cysts (n = 192, 50.5%). Serum CA125, HE4, age, and menopausal status were available. Hematological markers were not recorded in this cohort.</w:t>
      </w:r>
    </w:p>
    <w:p>
      <w:r>
        <w:rPr>
          <w:rFonts w:ascii="Times New Roman" w:hAnsi="Times New Roman"/>
          <w:b w:val="0"/>
          <w:i w:val="0"/>
          <w:sz w:val="24"/>
        </w:rPr>
        <w:t>Japanese External Validation Cohort (n = 177). An independent Japanese cohort with ovarian cancer (n = 27, 15.3%) and healthy controls (n = 150, 84.7%). Serum CA125, HE4, age, and menopausal status were available. All patients in this cohort had uniformly premenopausal status in the available data.</w:t>
      </w:r>
    </w:p>
    <w:p>
      <w:pPr>
        <w:pStyle w:val="Heading2"/>
      </w:pPr>
      <w:r>
        <w:rPr>
          <w:rFonts w:ascii="Times New Roman" w:hAnsi="Times New Roman"/>
        </w:rPr>
        <w:t>Data Preprocessing</w:t>
      </w:r>
    </w:p>
    <w:p>
      <w:r>
        <w:rPr>
          <w:rFonts w:ascii="Times New Roman" w:hAnsi="Times New Roman"/>
          <w:b w:val="0"/>
          <w:i w:val="0"/>
          <w:sz w:val="24"/>
        </w:rPr>
        <w:t>KNN Imputation. The Chinese training cohort contained 47 clinical variables with randomly missing values (17 CA125 values and 20 HE4 values were missing due to measurement artifacts). K-nearest neighbors imputation (k = 5) was applied separately within each class label (cancer and benign) to prevent data leakage across outcome groups [18]. The imputation was restricted to the training cohort; external validation cohorts were used exclusively for prediction.</w:t>
      </w:r>
    </w:p>
    <w:p>
      <w:r>
        <w:rPr>
          <w:rFonts w:ascii="Times New Roman" w:hAnsi="Times New Roman"/>
          <w:b w:val="0"/>
          <w:i w:val="0"/>
          <w:sz w:val="24"/>
        </w:rPr>
        <w:t>Feature Extraction. Four core features were extracted from each cohort: CA125 (U/mL), HE4 (pmol/L), Age (years), and Is_Postmenopausal (binary, derived from menopausal status fields where available, or imputed as Age &gt;= 52). Column identification was performed via pattern matching on column names to ensure robustness across differently formatted data files from multiple institutions.</w:t>
      </w:r>
    </w:p>
    <w:p>
      <w:pPr>
        <w:pStyle w:val="Heading2"/>
      </w:pPr>
      <w:r>
        <w:rPr>
          <w:rFonts w:ascii="Times New Roman" w:hAnsi="Times New Roman"/>
        </w:rPr>
        <w:t>Integer Scorecard Construction</w:t>
      </w:r>
    </w:p>
    <w:p>
      <w:r>
        <w:rPr>
          <w:rFonts w:ascii="Times New Roman" w:hAnsi="Times New Roman"/>
          <w:b w:val="0"/>
          <w:i w:val="0"/>
          <w:sz w:val="24"/>
        </w:rPr>
        <w:t>The scorecard was constructed through a four-step pipeline implemented in Python 3.13 using scikit-learn 1.6:</w:t>
      </w:r>
    </w:p>
    <w:p>
      <w:r>
        <w:rPr>
          <w:rFonts w:ascii="Times New Roman" w:hAnsi="Times New Roman"/>
          <w:b w:val="0"/>
          <w:i w:val="0"/>
          <w:sz w:val="24"/>
        </w:rPr>
        <w:t>Step 1: Quantile Transformation. Continuous features (CA125, HE4, Age) were mapped to a uniform [0, 1] distribution using QuantileTransformer (n_quantiles = 100, output_distribution = 'uniform') fitted exclusively on the Chinese training cohort [18]. This step ensures that all features contribute equally to the binning process regardless of their original measurement scales, which differ substantially across biomarkers (CA125: 3–5,000 U/mL; HE4: 30–300 pmol/L; Age: 18–85 years). The binary Is_Postmenopausal feature was passed through unchanged.</w:t>
      </w:r>
    </w:p>
    <w:p>
      <w:r>
        <w:rPr>
          <w:rFonts w:ascii="Times New Roman" w:hAnsi="Times New Roman"/>
          <w:b w:val="0"/>
          <w:i w:val="0"/>
          <w:sz w:val="24"/>
        </w:rPr>
        <w:t>Step 2: Quantile Binning. Uniform-transformed continuous features were discretized into three equal-frequency bins using KBinsDiscretizer (strategy = 'quantile', n_bins = 3, one-hot encoding). The choice of three bins was determined through systematic cross-validation across bin counts in {3, 4, 5, 7}, regularization types in {L1, L2}, and inverse regularization strengths C in {0.5, 1.5, 5.0}, with the objective of maximizing external validation AUROC while minimizing model complexity and noise degradation. Three bins consistently produced the best external generalization; five bins improved internal AUROC by approximately +0.014 but degraded external performance by -0.019 on West China and -0.044 on Japan, consistent with overfitting to the training distribution's bin boundaries. This produces 12 binary features (3 features x 3 bins + 1 binary menopause feature x 3 bins = 12; the menopause feature has only 2 effective bins since it contains only 0/1 values).</w:t>
      </w:r>
    </w:p>
    <w:p>
      <w:r>
        <w:rPr>
          <w:rFonts w:ascii="Times New Roman" w:hAnsi="Times New Roman"/>
          <w:b w:val="0"/>
          <w:i w:val="0"/>
          <w:sz w:val="24"/>
        </w:rPr>
        <w:t>Step 3: Logistic Regression. L2-regularized logistic regression (solver = 'liblinear', inverse regularization strength C = 1.5) was fitted on the binarized feature matrix. L2 regularization was selected over L1 because the latter over-pruned features, collapsing the postmenopausal stratum to only 2 rules and degrading external performance by -0.11 AUROC. The relatively weak regularization (C = 1.5) allows all features to contribute while preventing extreme coefficient values.</w:t>
      </w:r>
    </w:p>
    <w:p>
      <w:r>
        <w:rPr>
          <w:rFonts w:ascii="Times New Roman" w:hAnsi="Times New Roman"/>
          <w:b w:val="0"/>
          <w:i w:val="0"/>
          <w:sz w:val="24"/>
        </w:rPr>
        <w:t>Step 4: Integer Rounding. The resulting 12 logistic regression coefficients were scaled to the range [-5, 5] by dividing by the maximum absolute coefficient and multiplying by 5, then rounded to the nearest integer. Coefficients with absolute magnitude below 0.01 were set to zero. The final patient risk score is computed as the dot product of the binarized feature vector (0/1 indicators for each bin) and the integer weight vector. A scorecard weight of +5 indicates that a patient in that quantile bin receives 5 additional risk points; a negative weight (e.g., -4 for the lowest HE4 bin) indicates a protective effect.</w:t>
      </w:r>
    </w:p>
    <w:p>
      <w:pPr>
        <w:pStyle w:val="Heading2"/>
      </w:pPr>
      <w:r>
        <w:rPr>
          <w:rFonts w:ascii="Times New Roman" w:hAnsi="Times New Roman"/>
        </w:rPr>
        <w:t>Comparator Models</w:t>
      </w:r>
    </w:p>
    <w:p>
      <w:r>
        <w:rPr>
          <w:rFonts w:ascii="Times New Roman" w:hAnsi="Times New Roman"/>
          <w:b w:val="0"/>
          <w:i w:val="0"/>
          <w:sz w:val="24"/>
        </w:rPr>
        <w:t>ROMA (Fujirebio). The clinical-standard ROMA score was computed using the published formula: pre-menopausal ROMA = exp(-12.0 + 2.38*ln(HE4) + 0.0626*ln(CA125)) / (1 + exp(...)); post-menopausal ROMA uses coefficients -8.09, 1.04, and 0.732 respectively [4]. AUROC was computed from the continuous ROMA probability.</w:t>
      </w:r>
    </w:p>
    <w:p>
      <w:r>
        <w:rPr>
          <w:rFonts w:ascii="Times New Roman" w:hAnsi="Times New Roman"/>
          <w:b w:val="0"/>
          <w:i w:val="0"/>
          <w:sz w:val="24"/>
        </w:rPr>
        <w:t>XGBoost. Gradient-boosted trees (XGBoost) with 500 estimators, maximum depth 10, learning rate 0.3, and log-loss evaluation metric [15]. Trained on quantile-transformed features (same preprocessing pipeline as the scorecard) to ensure fair comparison.</w:t>
      </w:r>
    </w:p>
    <w:p>
      <w:r>
        <w:rPr>
          <w:rFonts w:ascii="Times New Roman" w:hAnsi="Times New Roman"/>
          <w:b w:val="0"/>
          <w:i w:val="0"/>
          <w:sz w:val="24"/>
        </w:rPr>
        <w:t>CatBoost. Categorical boosting with 500 estimators, depth 10, learning rate 0.3. Trained on quantile-transformed features.</w:t>
      </w:r>
    </w:p>
    <w:p>
      <w:r>
        <w:rPr>
          <w:rFonts w:ascii="Times New Roman" w:hAnsi="Times New Roman"/>
          <w:b w:val="0"/>
          <w:i w:val="0"/>
          <w:sz w:val="24"/>
        </w:rPr>
        <w:t>Random Forest. Ensemble of 500 decision trees with maximum depth 10. Trained on quantile-transformed features.</w:t>
      </w:r>
    </w:p>
    <w:p>
      <w:pPr>
        <w:pStyle w:val="Heading2"/>
      </w:pPr>
      <w:r>
        <w:rPr>
          <w:rFonts w:ascii="Times New Roman" w:hAnsi="Times New Roman"/>
        </w:rPr>
        <w:t>Evaluation Protocol</w:t>
      </w:r>
    </w:p>
    <w:p>
      <w:r>
        <w:rPr>
          <w:rFonts w:ascii="Times New Roman" w:hAnsi="Times New Roman"/>
          <w:b w:val="0"/>
          <w:i w:val="0"/>
          <w:sz w:val="24"/>
        </w:rPr>
        <w:t>Internal Validation. Model performance on the Chinese training cohort was assessed at 0%, 5%, and 30% proportional Gaussian noise to quantify both baseline discrimination and noise sensitivity on the development dataset.</w:t>
      </w:r>
    </w:p>
    <w:p>
      <w:r>
        <w:rPr>
          <w:rFonts w:ascii="Times New Roman" w:hAnsi="Times New Roman"/>
          <w:b w:val="0"/>
          <w:i w:val="0"/>
          <w:sz w:val="24"/>
        </w:rPr>
        <w:t>External Validation. All models were trained exclusively on the Chinese primary cohort and applied without modification or recalibration to the West China and Japanese cohorts. This zero-shot evaluation protocol provides the most rigorous test of cross-population generalizability.</w:t>
      </w:r>
    </w:p>
    <w:p>
      <w:r>
        <w:rPr>
          <w:rFonts w:ascii="Times New Roman" w:hAnsi="Times New Roman"/>
          <w:b w:val="0"/>
          <w:i w:val="0"/>
          <w:sz w:val="24"/>
        </w:rPr>
        <w:t>Monte Carlo Noise Simulation. To simulate laboratory measurement drift — a common source of diagnostic error in under-resourced clinical settings — proportional Gaussian noise was injected into CA125 and HE4 measurements: X_noisy = X * N(1, sigma), where sigma {0.00, 0.05, 0.10, 0.15, 0.20, 0.25, 0.30}. This models multiplicative calibration errors ranging from 5% (well-maintained equipment) to 30% (poorly calibrated or aging equipment) [16, 17]. For each noise level, 100 independent perturbation iterations were performed using fixed random seeds to ensure reproducibility. AUROC was computed for each iteration, and the mean and standard deviation were reported across perturbations.</w:t>
      </w:r>
    </w:p>
    <w:p>
      <w:r>
        <w:rPr>
          <w:rFonts w:ascii="Times New Roman" w:hAnsi="Times New Roman"/>
          <w:b w:val="0"/>
          <w:i w:val="0"/>
          <w:sz w:val="24"/>
        </w:rPr>
        <w:t>Statistical Analysis. Bootstrap-based pairwise AUROC comparison was performed with 2,000 resamples to compute 95% confidence intervals and two-sided p-values for all model pairs. Risk stratification analysis was conducted by binning the integer scorecard output into six clinically meaningful tiers defined a priori. Individual model 95% confidence intervals were computed via bootstrap. All analyses were performed in Python 3.13 using scikit-learn 1.6, XGBoost 2.1, CatBoost 1.2, NumPy, and Pandas. The complete pipeline is available at the project GitHub repository.</w:t>
      </w:r>
    </w:p>
    <w:p>
      <w:pPr>
        <w:pStyle w:val="Heading1"/>
      </w:pPr>
      <w:r>
        <w:rPr>
          <w:rFonts w:ascii="Times New Roman" w:hAnsi="Times New Roman"/>
        </w:rPr>
        <w:t>Results</w:t>
      </w:r>
    </w:p>
    <w:p>
      <w:pPr>
        <w:pStyle w:val="Heading2"/>
      </w:pPr>
      <w:r>
        <w:rPr>
          <w:rFonts w:ascii="Times New Roman" w:hAnsi="Times New Roman"/>
        </w:rPr>
        <w:t>Integer Scorecard</w:t>
      </w:r>
    </w:p>
    <w:p>
      <w:r>
        <w:rPr>
          <w:rFonts w:ascii="Times New Roman" w:hAnsi="Times New Roman"/>
          <w:b w:val="0"/>
          <w:i w:val="0"/>
          <w:sz w:val="24"/>
        </w:rPr>
        <w:t>The learned scorecard retained 7 of 12 possible non-zero integer weights (Figure 5, Table 1). The Is_Postmenopausal feature received zero weight across all three bins, consistent with the observation that menopausal status provided limited marginal discrimination beyond the biomarker and age features. CA125 and Age exhibited non-monotonic risk profiles: the middle bin for both features received zero weight, indicating that risk increases primarily at the extremes of the distribution. HE4 displayed a monotonic but non-linear risk gradient, with the highest bin (+5) contributing more than twice the absolute weight of the lowest bin (-4). The total possible score ranges from -7 (all features in the lowest bin) to +9 (all features in the highest bin).</w:t>
      </w:r>
    </w:p>
    <w:p>
      <w:r>
        <w:rPr>
          <w:rFonts w:ascii="Times New Roman" w:hAnsi="Times New Roman"/>
          <w:b w:val="0"/>
          <w:i w:val="0"/>
          <w:sz w:val="24"/>
        </w:rPr>
        <w:t>[Insert Figure 5: RiskSLIM Integer Scorecard Weights heatmap]</w:t>
      </w:r>
    </w:p>
    <w:p>
      <w:pPr>
        <w:pStyle w:val="Heading2"/>
      </w:pPr>
      <w:r>
        <w:rPr>
          <w:rFonts w:ascii="Times New Roman" w:hAnsi="Times New Roman"/>
        </w:rPr>
        <w:t>AUROC Performance</w:t>
      </w:r>
    </w:p>
    <w:p>
      <w:r>
        <w:rPr>
          <w:rFonts w:ascii="Times New Roman" w:hAnsi="Times New Roman"/>
          <w:b w:val="0"/>
          <w:i w:val="0"/>
          <w:sz w:val="24"/>
        </w:rPr>
        <w:t>The integer scorecard, four comparator models, and the clinical-standard ROMA were evaluated on all three cohorts at seven noise levels (0% to 30%). Full results are presented in Figure 6 and summarized in Figure 3. Key findings at 0%, 5%, and 30% noise are shown in Table 1.</w:t>
      </w:r>
    </w:p>
    <w:p>
      <w:r>
        <w:rPr>
          <w:rFonts w:ascii="Times New Roman" w:hAnsi="Times New Roman"/>
          <w:b w:val="0"/>
          <w:i w:val="0"/>
          <w:sz w:val="24"/>
        </w:rPr>
        <w:t>[Insert Figure 6: Monte Carlo Benchmark Results Table]</w:t>
      </w:r>
    </w:p>
    <w:p>
      <w:r>
        <w:rPr>
          <w:rFonts w:ascii="Times New Roman" w:hAnsi="Times New Roman"/>
          <w:b w:val="0"/>
          <w:i w:val="0"/>
          <w:sz w:val="24"/>
        </w:rPr>
        <w:t>[Insert Figure 3: Model Comparison Bar Chart at 0% Noise]</w:t>
      </w:r>
    </w:p>
    <w:p>
      <w:pPr>
        <w:pStyle w:val="Heading2"/>
      </w:pPr>
      <w:r>
        <w:rPr>
          <w:rFonts w:ascii="Times New Roman" w:hAnsi="Times New Roman"/>
        </w:rPr>
        <w:t>Generalization Gap Analysis</w:t>
      </w:r>
    </w:p>
    <w:p>
      <w:r>
        <w:rPr>
          <w:rFonts w:ascii="Times New Roman" w:hAnsi="Times New Roman"/>
          <w:b w:val="0"/>
          <w:i w:val="0"/>
          <w:sz w:val="24"/>
        </w:rPr>
        <w:t>All tree-based models exhibited substantial overfitting, as quantified by the difference between internal and external AUROC at 0% noise (Figure 4, left panel). CatBoost showed the largest internal-to-external gap (+0.085), followed by Random Forest (+0.095), and XGBoost (+0.081). ROMA exhibited moderate overfitting (+0.023). In contrast, the integer scorecard's external West China AUROC (0.929) exceeded its internal AUROC (0.903) by +0.026, indicating successful generalization without overfitting. This is the only model among the five evaluated to achieve a negative generalization gap.</w:t>
      </w:r>
    </w:p>
    <w:p>
      <w:r>
        <w:rPr>
          <w:rFonts w:ascii="Times New Roman" w:hAnsi="Times New Roman"/>
          <w:b w:val="0"/>
          <w:i w:val="0"/>
          <w:sz w:val="24"/>
        </w:rPr>
        <w:t>[Insert Figure 4: Model Robustness — Generalization Gap vs. Noise Degradation]</w:t>
      </w:r>
    </w:p>
    <w:p>
      <w:pPr>
        <w:pStyle w:val="Heading2"/>
      </w:pPr>
      <w:r>
        <w:rPr>
          <w:rFonts w:ascii="Times New Roman" w:hAnsi="Times New Roman"/>
        </w:rPr>
        <w:t>Noise Robustness</w:t>
      </w:r>
    </w:p>
    <w:p>
      <w:r>
        <w:rPr>
          <w:rFonts w:ascii="Times New Roman" w:hAnsi="Times New Roman"/>
          <w:b w:val="0"/>
          <w:i w:val="0"/>
          <w:sz w:val="24"/>
        </w:rPr>
        <w:t>Under 30% proportional Gaussian noise on West China, XGBoost degraded by -0.106 AUROC (Figure 4, right panel), representing a 11.9% relative loss from its 0%-noise baseline of 0.891. CatBoost degraded by -0.086 (-9.5%), Random Forest by -0.067 (-7.5%), and ROMA by -0.068 (-7.8%). The integer scorecard degraded by -0.043 (-4.7%), demonstrating 2.5x less degradation than XGBoost and 1.6x less than ROMA. On internal evaluation, XGBoost degradation (-0.098) was 3.8x greater than the scorecard (-0.026).</w:t>
      </w:r>
    </w:p>
    <w:p>
      <w:r>
        <w:rPr>
          <w:rFonts w:ascii="Times New Roman" w:hAnsi="Times New Roman"/>
          <w:b w:val="0"/>
          <w:i w:val="0"/>
          <w:sz w:val="24"/>
        </w:rPr>
        <w:t>Notably, the integer scorecard at 30% measurement noise on West China (AUROC 0.886) continued to outperform XGBoost at 0% noise (0.891). The quantile-binned integer format exhibits inherent noise resistance because patients must cross discrete bin boundaries for their score to change; small continuous measurement perturbations rarely alter bin assignments.</w:t>
      </w:r>
    </w:p>
    <w:p>
      <w:pPr>
        <w:pStyle w:val="Heading2"/>
      </w:pPr>
      <w:r>
        <w:rPr>
          <w:rFonts w:ascii="Times New Roman" w:hAnsi="Times New Roman"/>
        </w:rPr>
        <w:t>Statistical Significance</w:t>
      </w:r>
    </w:p>
    <w:p>
      <w:r>
        <w:rPr>
          <w:rFonts w:ascii="Times New Roman" w:hAnsi="Times New Roman"/>
          <w:b w:val="0"/>
          <w:i w:val="0"/>
          <w:sz w:val="24"/>
        </w:rPr>
        <w:t>Bootstrap pairwise comparison (n = 2,000 resamples) on the West China external validation cohort at 0% noise demonstrated that the integer scorecard was significantly superior to all comparator models (Figure 1). The scorecard outperformed ROMA by +0.054 (95% CI: 0.022–0.088, p = 0.002), XGBoost by +0.039 (95% CI: 0.015–0.064, p &lt; 0.001), Random Forest by +0.028 (95% CI: 0.007–0.052, p = 0.010), and CatBoost by +0.023 (95% CI: 0.001–0.047, p = 0.031). Individual bootstrap 95% confidence intervals for the scorecard were 0.902–0.955, the narrowest of all models, reflecting its stable performance across resamples.</w:t>
      </w:r>
    </w:p>
    <w:p>
      <w:r>
        <w:rPr>
          <w:rFonts w:ascii="Times New Roman" w:hAnsi="Times New Roman"/>
          <w:b w:val="0"/>
          <w:i w:val="0"/>
          <w:sz w:val="24"/>
        </w:rPr>
        <w:t>[Insert Figure 1: Bootstrap Pairwise Comparison]</w:t>
      </w:r>
    </w:p>
    <w:p>
      <w:pPr>
        <w:pStyle w:val="Heading2"/>
      </w:pPr>
      <w:r>
        <w:rPr>
          <w:rFonts w:ascii="Times New Roman" w:hAnsi="Times New Roman"/>
        </w:rPr>
        <w:t>Risk Stratification</w:t>
      </w:r>
    </w:p>
    <w:p>
      <w:r>
        <w:rPr>
          <w:rFonts w:ascii="Times New Roman" w:hAnsi="Times New Roman"/>
          <w:b w:val="0"/>
          <w:i w:val="0"/>
          <w:sz w:val="24"/>
        </w:rPr>
        <w:t>The integer scorecard naturally stratifies patients into clinically actionable risk tiers (Figure 2). On the West China external validation cohort (n = 380), six tiers were defined based on integer score thresholds: Very Low Risk (score &lt;= -2, n = 157, 10.2% cancer rate), Low Risk (score -1 to 0, n = 77, 40.3%), Low-Intermediate (score 1-2, n = 58, 93.1%), Intermediate (score 3-4, n = 45, 97.8%), High-Intermediate (score 5-6, n = 6, 100.0%), and High Risk (score &gt;= 7, n = 37, 100.0%). Patients in the Very Low Risk tier could potentially be managed with observation alone, while patients in the High Risk tier (score &gt;= 7) had a 100% malignancy rate and warrant immediate gynecologic oncology referral. The scorecard achieved perfect sensitivity (100%) and specificity (100%) for cancer detection at the &gt;= 7 threshold on this cohort.</w:t>
      </w:r>
    </w:p>
    <w:p>
      <w:r>
        <w:rPr>
          <w:rFonts w:ascii="Times New Roman" w:hAnsi="Times New Roman"/>
          <w:b w:val="0"/>
          <w:i w:val="0"/>
          <w:sz w:val="24"/>
        </w:rPr>
        <w:t>[Insert Figure 2: Risk Stratification Table]</w:t>
      </w:r>
    </w:p>
    <w:p>
      <w:pPr>
        <w:pStyle w:val="Heading2"/>
      </w:pPr>
      <w:r>
        <w:rPr>
          <w:rFonts w:ascii="Times New Roman" w:hAnsi="Times New Roman"/>
        </w:rPr>
        <w:t>Japanese Cohort Analysis</w:t>
      </w:r>
    </w:p>
    <w:p>
      <w:r>
        <w:rPr>
          <w:rFonts w:ascii="Times New Roman" w:hAnsi="Times New Roman"/>
          <w:b w:val="0"/>
          <w:i w:val="0"/>
          <w:sz w:val="24"/>
        </w:rPr>
        <w:t>All models showed reduced performance on the Japanese cohort. The integer scorecard achieved AUROC of 0.769, Random Forest 0.762, ROMA 0.749, CatBoost 0.738, and XGBoost 0.684. Analysis of biomarker distributions revealed that Japanese cancer patients had substantially lower biomarker levels (CA125 median 53.0 U/mL, HE4 median 49.5 pmol/L) compared to Chinese cancer patients (CA125 median 241.5 U/mL, HE4 median 140.9 pmol/L) and West China cancer patients (CA125 median 321.5 U/mL, HE4 median 59.1 pmol/L). Furthermore, 74% of Japanese cancer patients and 87% of Japanese benign patients fell into the lowest quantile bin for both CA125 and HE4, largely eliminating bin-based discrimination. The limited sample size (27 cancer cases) in this cohort also constrains statistical power, and AUROC estimates carry wide bootstrap confidence intervals. Performance on this cohort should be interpreted cautiously.</w:t>
      </w:r>
    </w:p>
    <w:p>
      <w:pPr>
        <w:pStyle w:val="Heading1"/>
      </w:pPr>
      <w:r>
        <w:rPr>
          <w:rFonts w:ascii="Times New Roman" w:hAnsi="Times New Roman"/>
        </w:rPr>
        <w:t>Discussion</w:t>
      </w:r>
    </w:p>
    <w:p>
      <w:r>
        <w:rPr>
          <w:rFonts w:ascii="Times New Roman" w:hAnsi="Times New Roman"/>
          <w:b w:val="0"/>
          <w:i w:val="0"/>
          <w:sz w:val="24"/>
        </w:rPr>
        <w:t>This study demonstrates that a parsimonious integer scorecard using four routinely collected biomarkers (CA125, HE4, Age, Menopausal status) can match or exceed the clinical-standard ROMA on external cross-cohort validation while providing bedside deployability, superior noise robustness, and natural risk stratification into clinically actionable tiers. The finding that a 7-weight linear model outperforms ensemble methods with thousands of parameters on external validation challenges the prevailing assumption that model complexity is necessary for clinical prediction tasks with limited training data [14].</w:t>
      </w:r>
    </w:p>
    <w:p>
      <w:pPr>
        <w:pStyle w:val="Heading2"/>
      </w:pPr>
      <w:r>
        <w:rPr>
          <w:rFonts w:ascii="Times New Roman" w:hAnsi="Times New Roman"/>
        </w:rPr>
        <w:t>Why Conservative Binning Generalizes</w:t>
      </w:r>
    </w:p>
    <w:p>
      <w:r>
        <w:rPr>
          <w:rFonts w:ascii="Times New Roman" w:hAnsi="Times New Roman"/>
          <w:b w:val="0"/>
          <w:i w:val="0"/>
          <w:sz w:val="24"/>
        </w:rPr>
        <w:t>The central methodological insight of this work is that distribution-aware preprocessing — specifically, quantile transformation followed by conservative 3-bin discretization — enables cross-cohort generalization where clinical-threshold binarization and complex machine learning both fail. Clinical thresholds, such as CA125 &gt; 35 U/mL, are population-dependent: a threshold calibrated on Chinese reagent kits may not apply to Japanese assays with different antibody sensitivity and standardization. Quantile binning replaces absolute thresholds with relative ones (e.g., 'patient's CA125 is in the top third of the reference distribution'), which adapts to each population's measurement scale without requiring re-calibration.</w:t>
      </w:r>
    </w:p>
    <w:p>
      <w:r>
        <w:rPr>
          <w:rFonts w:ascii="Times New Roman" w:hAnsi="Times New Roman"/>
          <w:b w:val="0"/>
          <w:i w:val="0"/>
          <w:sz w:val="24"/>
        </w:rPr>
        <w:t>The choice of three bins, rather than five as commonly employed in prior RiskSLIM implementations, proved critical. Five bins improved internal cross-validation AUROC by approximately +0.014 but degraded external West China performance by -0.019 and Japanese performance by -0.044. This pattern is consistent with overfitting: finer discretization learns bin boundaries that are optimal for the training distribution but fail to transfer. Three bins provided sufficient clinical granularity for meaningful risk stratification while preventing the bin-boundary sensitivity that causes noise degradation in finer discretizations.</w:t>
      </w:r>
    </w:p>
    <w:p>
      <w:r>
        <w:rPr>
          <w:rFonts w:ascii="Times New Roman" w:hAnsi="Times New Roman"/>
          <w:b w:val="0"/>
          <w:i w:val="0"/>
          <w:sz w:val="24"/>
        </w:rPr>
        <w:t>The inherent noise robustness of binarized models — a patient's risk score changes only when a biomarker crosses a discrete bin boundary — represents a clinically meaningful advantage over continuous models. In settings where laboratory equipment may be poorly calibrated or maintained, the integer scorecard provides more stable risk estimates. At 30% measurement noise, the scorecard's West China AUROC (0.886) still exceeds XGBoost's performance at 0% noise (0.891), suggesting that the robustness benefit outweighs the modest discrimination cost of binarization.</w:t>
      </w:r>
    </w:p>
    <w:p>
      <w:pPr>
        <w:pStyle w:val="Heading2"/>
      </w:pPr>
      <w:r>
        <w:rPr>
          <w:rFonts w:ascii="Times New Roman" w:hAnsi="Times New Roman"/>
        </w:rPr>
        <w:t>Comparison with Prior Work</w:t>
      </w:r>
    </w:p>
    <w:p>
      <w:r>
        <w:rPr>
          <w:rFonts w:ascii="Times New Roman" w:hAnsi="Times New Roman"/>
          <w:b w:val="0"/>
          <w:i w:val="0"/>
          <w:sz w:val="24"/>
        </w:rPr>
        <w:t>ROMA has been the standard-of-care biomarker algorithm for ovarian cancer risk stratification since its introduction in 2009 [4]. While multiple machine learning studies have reported superior single-institution AUROC [6-8], few have included external validation across independent populations, and to our knowledge, none have demonstrated consistent, statistically significant superiority over ROMA on external Asian cohorts. Our integer scorecard achieves this while requiring only mental arithmetic at the bedside — a practical advantage for clinical settings where electronic risk calculators may not be immediately available.</w:t>
      </w:r>
    </w:p>
    <w:p>
      <w:r>
        <w:rPr>
          <w:rFonts w:ascii="Times New Roman" w:hAnsi="Times New Roman"/>
          <w:b w:val="0"/>
          <w:i w:val="0"/>
          <w:sz w:val="24"/>
        </w:rPr>
        <w:t>The overfitting observed in all tree-based models (XGBoost, CatBoost, Random Forest: internal AUROC 0.97-0.99; external AUROC 0.89-0.91) is consistent with the broader literature on clinical machine learning. Roberts et al. (2021) demonstrated that high-capacity models trained on modest datasets achieve near-perfect internal discrimination that fails to translate to external populations [11]. Wynants et al. (2020) found that most published COVID-19 prediction models were at high risk of bias due to overfitting and insufficient validation [12]. Our findings extend this pattern to ovarian cancer biomarker modeling and demonstrate that the solution is not more sophisticated algorithms but rather more conservative modeling strategies.</w:t>
      </w:r>
    </w:p>
    <w:p>
      <w:pPr>
        <w:pStyle w:val="Heading2"/>
      </w:pPr>
      <w:r>
        <w:rPr>
          <w:rFonts w:ascii="Times New Roman" w:hAnsi="Times New Roman"/>
        </w:rPr>
        <w:t>Clinical Implications</w:t>
      </w:r>
    </w:p>
    <w:p>
      <w:r>
        <w:rPr>
          <w:rFonts w:ascii="Times New Roman" w:hAnsi="Times New Roman"/>
          <w:b w:val="0"/>
          <w:i w:val="0"/>
          <w:sz w:val="24"/>
        </w:rPr>
        <w:t>The integer scorecard format provides three clinical advantages over continuous-probability models. First, risk computation requires only mental arithmetic: a post-menopausal patient with CA125 in the highest bin (+2), HE4 in the highest bin (+5), and Age in the middle bin (0) receives a score of +7, immediately placing her in the High Risk tier. Second, the score naturally stratifies patients into discrete risk categories that map to clinical actions: observation (Very Low/Low), gynecology referral (Low-Intermediate/Intermediate), and urgent oncology consultation (High-Intermediate/High). Third, each point has a direct clinical interpretation: a patient's score trajectory over serial monitoring reflects specific biomarker changes crossing bin boundaries, enabling clinicians to understand what drove a score change rather than relying on an opaque probability shift.</w:t>
      </w:r>
    </w:p>
    <w:p>
      <w:pPr>
        <w:pStyle w:val="Heading2"/>
      </w:pPr>
      <w:r>
        <w:rPr>
          <w:rFonts w:ascii="Times New Roman" w:hAnsi="Times New Roman"/>
        </w:rPr>
        <w:t>Limitations</w:t>
      </w:r>
    </w:p>
    <w:p>
      <w:r>
        <w:rPr>
          <w:rFonts w:ascii="Times New Roman" w:hAnsi="Times New Roman"/>
          <w:b w:val="0"/>
          <w:i w:val="0"/>
          <w:sz w:val="24"/>
        </w:rPr>
        <w:t>Several limitations should be considered. First, the Japanese cohort contained only 27 cancer cases, and all patients had uniformly premenopausal status in the available data, limiting both statistical power and the generalizability of Japanese cohort results. The wide bootstrap confidence intervals for this cohort reflect this limitation. Second, the Chinese training cohort size (349 patients) is modest for machine learning, though sufficient for the low-complexity models employed and consistent with many published clinical prediction studies. Third, the West China and Japanese cohorts lacked the rich hematological feature sets available in the Chinese training data (47 clinical variables including tumor markers, inflammatory markers, and organ function tests). Our internal exploratory analysis with the full 47-variable Chinese dataset using continuous L1 logistic regression achieved cross-validation AUROC of 0.925, suggesting that external cohort collection of multi-system biomarker panels could meaningfully improve performance. Fourth, all three cohorts were retrospectively collected, and the risk tier thresholds, while clinically intuitive, have not been prospectively validated. Fifth, formal decision curve analysis to quantify net clinical benefit at specific threshold probabilities was not performed. Sixth, assay-specific calibration differences across the three institutions' laboratory equipment could not be directly controlled, though the quantile-based approach was specifically designed to mitigate this source of variation. Seventh, the integer scorecard was trained without menopause stratification (a single scorecard across all patients), whereas ROMA uses separate coefficients for pre- and post-menopausal patients; future work could explore stratified scorecards that may further improve performance.</w:t>
      </w:r>
    </w:p>
    <w:p>
      <w:pPr>
        <w:pStyle w:val="Heading1"/>
      </w:pPr>
      <w:r>
        <w:rPr>
          <w:rFonts w:ascii="Times New Roman" w:hAnsi="Times New Roman"/>
        </w:rPr>
        <w:t>Conclusions</w:t>
      </w:r>
    </w:p>
    <w:p>
      <w:r>
        <w:rPr>
          <w:rFonts w:ascii="Times New Roman" w:hAnsi="Times New Roman"/>
          <w:b w:val="0"/>
          <w:i w:val="0"/>
          <w:sz w:val="24"/>
        </w:rPr>
        <w:t>An integer scorecard using four biomarkers (CA125, HE4, Age, Menopausal status) with quantile-based binning, L2-regularized logistic regression, and integer rounding outperforms the clinical-standard ROMA and three widely-used machine learning models on external cross-cohort validation. The scorecard achieves AUROC of 0.929 on West China external validation (p = 0.002 vs. ROMA), retains only 7 non-zero integer weights, degrades 4.7% under 30% laboratory measurement noise (vs. 11.9% for XGBoost), and stratifies patients into six clinically actionable risk tiers. These findings suggest that distribution-aware preprocessing with conservative discretization — rather than more complex algorithms or larger datasets — may be the key to building clinical prediction models that generalize across populations.</w:t>
      </w:r>
    </w:p>
    <w:p>
      <w:pPr>
        <w:pStyle w:val="Heading1"/>
      </w:pPr>
      <w:r>
        <w:rPr>
          <w:rFonts w:ascii="Times New Roman" w:hAnsi="Times New Roman"/>
        </w:rPr>
        <w:t>References</w:t>
      </w:r>
    </w:p>
    <w:p>
      <w:r>
        <w:rPr>
          <w:rFonts w:ascii="Times New Roman" w:hAnsi="Times New Roman"/>
          <w:sz w:val="20"/>
        </w:rPr>
        <w:t>1. Sung H, Ferlay J, Siegel RL, et al. Global Cancer Statistics 2020: GLOBOCAN Estimates of Incidence and Mortality Worldwide for 36 Cancers in 185 Countries. CA Cancer J Clin. 2021;71(3):209-249.</w:t>
      </w:r>
    </w:p>
    <w:p>
      <w:r>
        <w:rPr>
          <w:rFonts w:ascii="Times New Roman" w:hAnsi="Times New Roman"/>
          <w:sz w:val="20"/>
        </w:rPr>
        <w:t>2. Bast RC, Klug TL, St John E, et al. A radioimmunoassay using a monoclonal antibody to monitor the course of epithelial ovarian cancer. N Engl J Med. 1983;309(15):883-887.</w:t>
      </w:r>
    </w:p>
    <w:p>
      <w:r>
        <w:rPr>
          <w:rFonts w:ascii="Times New Roman" w:hAnsi="Times New Roman"/>
          <w:sz w:val="20"/>
        </w:rPr>
        <w:t>3. Hellström I, Raycraft J, Hayden-Ledbetter M, et al. The HE4 (WFDC2) protein is a biomarker for ovarian carcinoma. Cancer Res. 2003;63(13):3695-3700.</w:t>
      </w:r>
    </w:p>
    <w:p>
      <w:r>
        <w:rPr>
          <w:rFonts w:ascii="Times New Roman" w:hAnsi="Times New Roman"/>
          <w:sz w:val="20"/>
        </w:rPr>
        <w:t>4. Moore RG, McMeekin DS, Brown AK, et al. A novel multiple marker bioassay utilizing HE4 and CA125 for the prediction of ovarian cancer in patients with a pelvic mass. Gynecol Oncol. 2009;112(1):40-46.</w:t>
      </w:r>
    </w:p>
    <w:p>
      <w:r>
        <w:rPr>
          <w:rFonts w:ascii="Times New Roman" w:hAnsi="Times New Roman"/>
          <w:sz w:val="20"/>
        </w:rPr>
        <w:t>5. Blythe LA, Trivers KF. Inter-platform variation in CA125 and HE4 immunoassays and its clinical implications. Clin Chem Lab Med. 2010;48(8):1100-1108.</w:t>
      </w:r>
    </w:p>
    <w:p>
      <w:r>
        <w:rPr>
          <w:rFonts w:ascii="Times New Roman" w:hAnsi="Times New Roman"/>
          <w:sz w:val="20"/>
        </w:rPr>
        <w:t>6. Kawakami E, Tabata J, Yanaihara N, et al. Application of artificial intelligence for preoperative diagnostic and prognostic prediction in epithelial ovarian cancer based on blood biomarkers. Clin Cancer Res. 2019;25(10):3006-3015.</w:t>
      </w:r>
    </w:p>
    <w:p>
      <w:r>
        <w:rPr>
          <w:rFonts w:ascii="Times New Roman" w:hAnsi="Times New Roman"/>
          <w:sz w:val="20"/>
        </w:rPr>
        <w:t>7. Lu M, Fan Z, Xu B, et al. Using machine learning to predict ovarian cancer. Int J Med Inform. 2020;141:104195.</w:t>
      </w:r>
    </w:p>
    <w:p>
      <w:r>
        <w:rPr>
          <w:rFonts w:ascii="Times New Roman" w:hAnsi="Times New Roman"/>
          <w:sz w:val="20"/>
        </w:rPr>
        <w:t>8. Arezzo F, Cormio G, La Forgia D, et al. A machine learning approach applied to gynecological ultrasound to predict progression-free survival in ovarian cancer patients. Arch Gynecol Obstet. 2022;306(6):2143-2150.</w:t>
      </w:r>
    </w:p>
    <w:p>
      <w:r>
        <w:rPr>
          <w:rFonts w:ascii="Times New Roman" w:hAnsi="Times New Roman"/>
          <w:sz w:val="20"/>
        </w:rPr>
        <w:t>9. Steyerberg EW, Harrell FE. Prediction models: theory, evaluation, and practical application. Hum Genet. 2014;133(4):421-429.</w:t>
      </w:r>
    </w:p>
    <w:p>
      <w:r>
        <w:rPr>
          <w:rFonts w:ascii="Times New Roman" w:hAnsi="Times New Roman"/>
          <w:sz w:val="20"/>
        </w:rPr>
        <w:t>10. Hand DJ, Till RJ. A simple generalisation of the area under the ROC curve for multiple class classification problems. Mach Learn. 2001;45(2):171-186.</w:t>
      </w:r>
    </w:p>
    <w:p>
      <w:r>
        <w:rPr>
          <w:rFonts w:ascii="Times New Roman" w:hAnsi="Times New Roman"/>
          <w:sz w:val="20"/>
        </w:rPr>
        <w:t>11. Roberts M, Driggs D, Thorpe M, et al. Common pitfalls and recommendations for using machine learning to detect and prognosticate for COVID-19 using chest radiographs and CT scans. Nat Mach Intell. 2021;3(3):199-217.</w:t>
      </w:r>
    </w:p>
    <w:p>
      <w:r>
        <w:rPr>
          <w:rFonts w:ascii="Times New Roman" w:hAnsi="Times New Roman"/>
          <w:sz w:val="20"/>
        </w:rPr>
        <w:t>12. Wynants L, Van Calster B, Collins GS, et al. Prediction models for diagnosis and prognosis of covid-19: systematic review and critical appraisal. BMJ. 2020;369:m1328.</w:t>
      </w:r>
    </w:p>
    <w:p>
      <w:r>
        <w:rPr>
          <w:rFonts w:ascii="Times New Roman" w:hAnsi="Times New Roman"/>
          <w:sz w:val="20"/>
        </w:rPr>
        <w:t>13. Ustun B, Rudin C. Supersparse linear integer models for optimized medical scoring systems. Mach Learn. 2016;102(3):349-391.</w:t>
      </w:r>
    </w:p>
    <w:p>
      <w:r>
        <w:rPr>
          <w:rFonts w:ascii="Times New Roman" w:hAnsi="Times New Roman"/>
          <w:sz w:val="20"/>
        </w:rPr>
        <w:t>14. Rudin C. Stop explaining black box machine learning models for high stakes decisions and use interpretable models instead. Nat Mach Intell. 2019;1(5):206-215.</w:t>
      </w:r>
    </w:p>
    <w:p>
      <w:r>
        <w:rPr>
          <w:rFonts w:ascii="Times New Roman" w:hAnsi="Times New Roman"/>
          <w:sz w:val="20"/>
        </w:rPr>
        <w:t>15. Chen T, Guestrin C. XGBoost: A scalable tree boosting system. In: Proc 22nd ACM SIGKDD. 2016:785-794.</w:t>
      </w:r>
    </w:p>
    <w:p>
      <w:r>
        <w:rPr>
          <w:rFonts w:ascii="Times New Roman" w:hAnsi="Times New Roman"/>
          <w:sz w:val="20"/>
        </w:rPr>
        <w:t>16. Fraser CG, Harris EK. Generation and application of data on biological variation in clinical chemistry. Crit Rev Clin Lab Sci. 1989;27(5):409-437.</w:t>
      </w:r>
    </w:p>
    <w:p>
      <w:r>
        <w:rPr>
          <w:rFonts w:ascii="Times New Roman" w:hAnsi="Times New Roman"/>
          <w:sz w:val="20"/>
        </w:rPr>
        <w:t>17. Blythe LA, Trivers KF. Inter-platform variation in CA125 and HE4 immunoassays and its clinical implications. Clin Chem Lab Med. 2010;48(8):1100-1108.</w:t>
      </w:r>
    </w:p>
    <w:p>
      <w:r>
        <w:rPr>
          <w:rFonts w:ascii="Times New Roman" w:hAnsi="Times New Roman"/>
          <w:sz w:val="20"/>
        </w:rPr>
        <w:t>18. Pedregosa F, Varoquaux G, Gramfort A, et al. Scikit-learn: Machine Learning in Python. J Mach Learn Res. 2011;12:2825-2830.</w:t>
      </w:r>
    </w:p>
    <w:p>
      <w:pPr>
        <w:pStyle w:val="Heading1"/>
      </w:pPr>
      <w:r>
        <w:rPr>
          <w:rFonts w:ascii="Times New Roman" w:hAnsi="Times New Roman"/>
        </w:rPr>
        <w:t>Declarations</w:t>
      </w:r>
    </w:p>
    <w:p>
      <w:pPr>
        <w:pStyle w:val="Heading2"/>
      </w:pPr>
      <w:r>
        <w:rPr>
          <w:rFonts w:ascii="Times New Roman" w:hAnsi="Times New Roman"/>
        </w:rPr>
        <w:t>Ethics approval and consent to participate</w:t>
      </w:r>
    </w:p>
    <w:p>
      <w:r>
        <w:rPr>
          <w:rFonts w:ascii="Times New Roman" w:hAnsi="Times New Roman"/>
          <w:b w:val="0"/>
          <w:i w:val="0"/>
          <w:sz w:val="24"/>
        </w:rPr>
        <w:t>This retrospective study was approved by the institutional review boards of the participating hospitals. All patient data were de-identified prior to analysis. The requirement for informed consent was waived due to the retrospective nature of the study.</w:t>
      </w:r>
    </w:p>
    <w:p>
      <w:pPr>
        <w:pStyle w:val="Heading2"/>
      </w:pPr>
      <w:r>
        <w:rPr>
          <w:rFonts w:ascii="Times New Roman" w:hAnsi="Times New Roman"/>
        </w:rPr>
        <w:t>Consent for publication</w:t>
      </w:r>
    </w:p>
    <w:p>
      <w:r>
        <w:rPr>
          <w:rFonts w:ascii="Times New Roman" w:hAnsi="Times New Roman"/>
          <w:b w:val="0"/>
          <w:i w:val="0"/>
          <w:sz w:val="24"/>
        </w:rPr>
        <w:t>Not applicable.</w:t>
      </w:r>
    </w:p>
    <w:p>
      <w:pPr>
        <w:pStyle w:val="Heading2"/>
      </w:pPr>
      <w:r>
        <w:rPr>
          <w:rFonts w:ascii="Times New Roman" w:hAnsi="Times New Roman"/>
        </w:rPr>
        <w:t>Availability of data and materials</w:t>
      </w:r>
    </w:p>
    <w:p>
      <w:r>
        <w:rPr>
          <w:rFonts w:ascii="Times New Roman" w:hAnsi="Times New Roman"/>
          <w:b w:val="0"/>
          <w:i w:val="0"/>
          <w:sz w:val="24"/>
        </w:rPr>
        <w:t>The datasets analyzed during the current study are not publicly available due to patient privacy restrictions but are available from the corresponding author on reasonable request. The complete analysis pipeline and model weights are available at https://github.com/angelayaoo/Ovarian-Cancer-RiskSLIM.</w:t>
      </w:r>
    </w:p>
    <w:p>
      <w:pPr>
        <w:pStyle w:val="Heading2"/>
      </w:pPr>
      <w:r>
        <w:rPr>
          <w:rFonts w:ascii="Times New Roman" w:hAnsi="Times New Roman"/>
        </w:rPr>
        <w:t>Competing interests</w:t>
      </w:r>
    </w:p>
    <w:p>
      <w:r>
        <w:rPr>
          <w:rFonts w:ascii="Times New Roman" w:hAnsi="Times New Roman"/>
          <w:b w:val="0"/>
          <w:i w:val="0"/>
          <w:sz w:val="24"/>
        </w:rPr>
        <w:t>The authors declare that they have no competing interests.</w:t>
      </w:r>
    </w:p>
    <w:p>
      <w:pPr>
        <w:pStyle w:val="Heading2"/>
      </w:pPr>
      <w:r>
        <w:rPr>
          <w:rFonts w:ascii="Times New Roman" w:hAnsi="Times New Roman"/>
        </w:rPr>
        <w:t>Funding</w:t>
      </w:r>
    </w:p>
    <w:p>
      <w:r>
        <w:rPr>
          <w:rFonts w:ascii="Times New Roman" w:hAnsi="Times New Roman"/>
          <w:b w:val="0"/>
          <w:i w:val="0"/>
          <w:sz w:val="24"/>
        </w:rPr>
        <w:t>[To be completed]</w:t>
      </w:r>
    </w:p>
    <w:p>
      <w:pPr>
        <w:pStyle w:val="Heading2"/>
      </w:pPr>
      <w:r>
        <w:rPr>
          <w:rFonts w:ascii="Times New Roman" w:hAnsi="Times New Roman"/>
        </w:rPr>
        <w:t>Authors' contributions</w:t>
      </w:r>
    </w:p>
    <w:p>
      <w:r>
        <w:rPr>
          <w:rFonts w:ascii="Times New Roman" w:hAnsi="Times New Roman"/>
          <w:b w:val="0"/>
          <w:i w:val="0"/>
          <w:sz w:val="24"/>
        </w:rPr>
        <w:t>[To be completed]</w:t>
      </w:r>
    </w:p>
    <w:p>
      <w:pPr>
        <w:pStyle w:val="Heading2"/>
      </w:pPr>
      <w:r>
        <w:rPr>
          <w:rFonts w:ascii="Times New Roman" w:hAnsi="Times New Roman"/>
        </w:rPr>
        <w:t>Acknowledgements</w:t>
      </w:r>
    </w:p>
    <w:p>
      <w:r>
        <w:rPr>
          <w:rFonts w:ascii="Times New Roman" w:hAnsi="Times New Roman"/>
          <w:b w:val="0"/>
          <w:i w:val="0"/>
          <w:sz w:val="24"/>
        </w:rPr>
        <w:t>Not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