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An Integer Scorecard for Ovarian Cancer Risk Prediction: Cross-Cohort External Validation Against ROMA and Machine Learning Models in Three Asian Populations</w:t>
      </w:r>
    </w:p>
    <w:p>
      <w:pPr>
        <w:pStyle w:val="Heading1"/>
        <w:jc w:val="left"/>
      </w:pPr>
      <w:r>
        <w:rPr>
          <w:rFonts w:ascii="Times New Roman" w:hAnsi="Times New Roman" w:eastAsia="Times New Roman"/>
          <w:sz w:val="28"/>
        </w:rPr>
        <w:t>Abstract</w:t>
      </w:r>
    </w:p>
    <w:p>
      <w:pPr>
        <w:spacing w:after="120"/>
      </w:pPr>
      <w:r>
        <w:rPr>
          <w:rFonts w:ascii="Times New Roman" w:hAnsi="Times New Roman"/>
          <w:b/>
          <w:sz w:val="24"/>
        </w:rPr>
        <w:t xml:space="preserve">Background: </w:t>
      </w:r>
      <w:r>
        <w:rPr>
          <w:rFonts w:ascii="Times New Roman" w:hAnsi="Times New Roman"/>
          <w:sz w:val="24"/>
        </w:rPr>
        <w:t>Ovarian cancer risk stratification using CA125 and HE4 relies on the Risk of Ovarian Malignancy Algorithm (ROMA), which requires logarithmic computation, was calibrated on Western populations, and provides no discrete risk tiers. We investigated whether a simple integer scorecard using quantile-binned biomarkers could match or exceed ROMA and tree-based machine learning models on cross-cohort external validation across three independent Asian populations.</w:t>
      </w:r>
    </w:p>
    <w:p>
      <w:pPr>
        <w:spacing w:after="120"/>
      </w:pPr>
      <w:r>
        <w:rPr>
          <w:rFonts w:ascii="Times New Roman" w:hAnsi="Times New Roman"/>
          <w:b/>
          <w:sz w:val="24"/>
        </w:rPr>
        <w:t xml:space="preserve">Methods: </w:t>
      </w:r>
      <w:r>
        <w:rPr>
          <w:rFonts w:ascii="Times New Roman" w:hAnsi="Times New Roman"/>
          <w:sz w:val="24"/>
        </w:rPr>
        <w:t>We analyzed 905 patients across three open-source Asian cohorts: a Chinese primary training cohort (n=349, Mendeley Data), a West China external validation cohort (n=380, figshare), and a Japanese external validation cohort (n=177, Karger figshare). Missing biomarker values were imputed via k-nearest neighbors (k=5) within each class label. Four features (CA125, HE4, Age, Menopausal status) underwent quantile normalization, 3-bin discretization, L2-regularized logistic regression (C=1.5), and integer rounding to [-5,5]. The primary endpoint was AUROC on West China compared via bootstrap pairwise testing (2,000 resamples, two-sided). Secondary analyses included Monte Carlo noise simulation (proportional Gaussian noise, sigma=0-30%, 100 perturbations/level) and risk tier stratification.</w:t>
      </w:r>
    </w:p>
    <w:p>
      <w:pPr>
        <w:spacing w:after="120"/>
      </w:pPr>
      <w:r>
        <w:rPr>
          <w:rFonts w:ascii="Times New Roman" w:hAnsi="Times New Roman"/>
          <w:b/>
          <w:sz w:val="24"/>
        </w:rPr>
        <w:t xml:space="preserve">Results: </w:t>
      </w:r>
      <w:r>
        <w:rPr>
          <w:rFonts w:ascii="Times New Roman" w:hAnsi="Times New Roman"/>
          <w:sz w:val="24"/>
        </w:rPr>
        <w:t>The 7-weight scorecard achieved West China AUROC 0.929 (95% CI: 0.902-0.955), outperforming ROMA (+0.054, p=0.002), XGBoost (+0.039, p&lt;0.001), CatBoost (+0.023, p=0.031), and Random Forest (+0.028, p=0.010). Tree-based models overfit substantially (internal-external gaps +0.081 to +0.095). Under 30% measurement noise, the scorecard degraded 4.7% vs. 11.9% for XGBoost. Six prespecified risk tiers stratified patients with cancer prevalence from 10.2% (score &lt;=-2) to 100% (score &gt;=7).</w:t>
      </w:r>
    </w:p>
    <w:p>
      <w:pPr>
        <w:spacing w:after="120"/>
      </w:pPr>
      <w:r>
        <w:rPr>
          <w:rFonts w:ascii="Times New Roman" w:hAnsi="Times New Roman"/>
          <w:b/>
          <w:sz w:val="24"/>
        </w:rPr>
        <w:t xml:space="preserve">Conclusions: </w:t>
      </w:r>
      <w:r>
        <w:rPr>
          <w:rFonts w:ascii="Times New Roman" w:hAnsi="Times New Roman"/>
          <w:sz w:val="24"/>
        </w:rPr>
        <w:t>An integer scorecard using four biomarkers quantitatively exceeds ROMA and tree-based models on external validation, while providing bedside usability, noise robustness, and risk stratification. Conservative distribution-aware binning may be preferable to model complexity for clinical prediction tasks requiring cross-population generalizability.</w:t>
      </w:r>
    </w:p>
    <w:p>
      <w:pPr>
        <w:pStyle w:val="Heading1"/>
        <w:jc w:val="left"/>
      </w:pPr>
      <w:r>
        <w:rPr>
          <w:rFonts w:ascii="Times New Roman" w:hAnsi="Times New Roman" w:eastAsia="Times New Roman"/>
          <w:sz w:val="28"/>
        </w:rPr>
        <w:t>Background</w:t>
      </w:r>
    </w:p>
    <w:p>
      <w:pPr>
        <w:spacing w:after="120"/>
      </w:pPr>
      <w:r>
        <w:rPr>
          <w:rFonts w:ascii="Times New Roman" w:hAnsi="Times New Roman" w:eastAsia="Times New Roman"/>
          <w:sz w:val="24"/>
        </w:rPr>
        <w:t>Ovarian cancer is the most lethal gynecological malignancy, responsible for approximately 314,000 new diagnoses and 207,000 deaths annually worldwide [1]. Over 70% of cases present at advanced stage, when five-year survival falls below 30% [2,3]. No population screening program — including the UK Collaborative Trial of Ovarian Cancer Screening (UKCTOCS) — has demonstrated mortality reduction [4,5]. For women presenting with adnexal masses, preoperative risk stratification using serum biomarkers is essential for guiding surgical triage: determining whether patients require referral to gynecologic oncology, as surgeon specialization independently predicts survival [6,7].</w:t>
      </w:r>
    </w:p>
    <w:p>
      <w:pPr>
        <w:spacing w:after="120"/>
      </w:pPr>
      <w:r>
        <w:rPr>
          <w:rFonts w:ascii="Times New Roman" w:hAnsi="Times New Roman" w:eastAsia="Times New Roman"/>
          <w:sz w:val="24"/>
        </w:rPr>
        <w:t>Two serum biomarkers form the basis of current risk assessment. Cancer Antigen 125 (CA125), identified by Bast et al. (1983), is elevated in approximately 80% of epithelial ovarian cancers but has limited specificity in premenopausal women [8,9]. Human Epididymis Protein 4 (HE4), identified by Hellstrom et al. (2003), demonstrates superior specificity and complementary expression across histological subtypes [10,11].</w:t>
      </w:r>
    </w:p>
    <w:p>
      <w:pPr>
        <w:spacing w:after="120"/>
      </w:pPr>
      <w:r>
        <w:rPr>
          <w:rFonts w:ascii="Times New Roman" w:hAnsi="Times New Roman" w:eastAsia="Times New Roman"/>
          <w:sz w:val="24"/>
        </w:rPr>
        <w:t>The Risk of Ovarian Malignancy Algorithm (ROMA), introduced by Moore et al. (2009), combines CA125, HE4, and menopausal status using logarithmic transformations [12,13]. FDA-cleared since 2011, ROMA has pooled sensitivity of 86-89% and specificity of 75-82% in meta-analyses [14-16]. However, ROMA has three limitations that motivated this work: (1) logarithmic computation prevents mental arithmetic at the bedside; (2) coefficients were calibrated on Western populations, and inter-platform immunoassay variation is well-documented [17,18]; and (3) as a continuous probability, ROMA provides no natural risk tiers to guide tiered clinical decisions [19].</w:t>
      </w:r>
    </w:p>
    <w:p>
      <w:pPr>
        <w:spacing w:after="120"/>
      </w:pPr>
      <w:r>
        <w:rPr>
          <w:rFonts w:ascii="Times New Roman" w:hAnsi="Times New Roman" w:eastAsia="Times New Roman"/>
          <w:sz w:val="24"/>
        </w:rPr>
        <w:t>Machine learning has been investigated as an alternative [20-24], but a well-documented pattern has emerged: high-capacity models achieve excellent internal discrimination that deteriorates on external validation [25-28]. Roberts et al. documented this in medical imaging [27]; Wynants et al. found 95% of COVID-19 prediction models at high risk of bias [28]. Collins et al. formalized external validation requirements in TRIPOD [29]; Steyerberg et al. established evaluation standards [30].</w:t>
      </w:r>
    </w:p>
    <w:p>
      <w:pPr>
        <w:spacing w:after="120"/>
      </w:pPr>
      <w:r>
        <w:rPr>
          <w:rFonts w:ascii="Times New Roman" w:hAnsi="Times New Roman" w:eastAsia="Times New Roman"/>
          <w:sz w:val="24"/>
        </w:rPr>
        <w:t>Ustun and Rudin (2016, 2019) introduced RiskSLIM: integer scorecards optimized through mixed-integer programming, producing models directly interpretable at the point of care [31,32]. Rudin (2019) argued for inherently interpretable models in high-stakes decisions [33], supported by demonstrations that linear models can match neural networks on structured clinical data [34,35]. Clinical scoring systems — APACHE II, Wells criteria, CHA2DS2-VASc — demonstrate the enduring utility of integer-based tools [36-38].</w:t>
      </w:r>
    </w:p>
    <w:p>
      <w:pPr>
        <w:spacing w:after="120"/>
      </w:pPr>
      <w:r>
        <w:rPr>
          <w:rFonts w:ascii="Times New Roman" w:hAnsi="Times New Roman" w:eastAsia="Times New Roman"/>
          <w:sz w:val="24"/>
        </w:rPr>
        <w:t>The research question was: can a simple integer scorecard — using only four routinely available biomarkers with distribution-aware binning — match or exceed ROMA and complex machine learning models on external cross-cohort validation, while providing clinically meaningful risk stratification and robustness to laboratory measurement noise? We investigated this question across three independent, open-source Asian populations [dataset 1-3].</w:t>
      </w:r>
    </w:p>
    <w:p>
      <w:pPr>
        <w:pStyle w:val="Heading1"/>
        <w:jc w:val="left"/>
      </w:pPr>
      <w:r>
        <w:rPr>
          <w:rFonts w:ascii="Times New Roman" w:hAnsi="Times New Roman" w:eastAsia="Times New Roman"/>
          <w:sz w:val="28"/>
        </w:rPr>
        <w:t>Methods</w:t>
      </w:r>
    </w:p>
    <w:p>
      <w:pPr>
        <w:pStyle w:val="Heading2"/>
        <w:jc w:val="left"/>
      </w:pPr>
      <w:r>
        <w:rPr>
          <w:rFonts w:ascii="Times New Roman" w:hAnsi="Times New Roman" w:eastAsia="Times New Roman"/>
          <w:sz w:val="26"/>
        </w:rPr>
        <w:t>Study Design and Cohorts</w:t>
      </w:r>
    </w:p>
    <w:p>
      <w:pPr>
        <w:spacing w:after="120"/>
      </w:pPr>
      <w:r>
        <w:rPr>
          <w:rFonts w:ascii="Times New Roman" w:hAnsi="Times New Roman" w:eastAsia="Times New Roman"/>
          <w:sz w:val="24"/>
        </w:rPr>
        <w:t>This was a retrospective diagnostic accuracy study using three independent, publicly available Asian cohorts. The primary endpoint was external validation AUROC on the West China cohort, compared between models via bootstrap pairwise testing. Secondary analyses included internal validation, Japanese cohort validation, Monte Carlo noise degradation (0-30%), and risk tier stratification. All analyses were prespecified.</w:t>
      </w:r>
    </w:p>
    <w:p>
      <w:pPr>
        <w:pStyle w:val="Heading3"/>
        <w:jc w:val="left"/>
      </w:pPr>
      <w:r>
        <w:rPr>
          <w:rFonts w:ascii="Times New Roman" w:hAnsi="Times New Roman" w:eastAsia="Times New Roman"/>
          <w:sz w:val="24"/>
        </w:rPr>
        <w:t>Data Sources</w:t>
      </w:r>
    </w:p>
    <w:p>
      <w:pPr>
        <w:spacing w:after="120"/>
      </w:pPr>
      <w:r>
        <w:rPr>
          <w:rFonts w:ascii="Times New Roman" w:hAnsi="Times New Roman" w:eastAsia="Times New Roman"/>
          <w:sz w:val="24"/>
        </w:rPr>
        <w:t>Chinese Primary Training Cohort (n=349). Mendeley Data (DOI: 10.17632/th7fztbrv9.11) [dataset 1]. Patients with histopathologically confirmed ovarian cancer (n=171) or benign ovarian masses (n=178). Serum CA125 and HE4 plus 47 additional clinical variables including complete blood count, liver function, renal function, tumor markers, and electrolytes. Exclusive training set.</w:t>
      </w:r>
    </w:p>
    <w:p>
      <w:pPr>
        <w:spacing w:after="120"/>
      </w:pPr>
      <w:r>
        <w:rPr>
          <w:rFonts w:ascii="Times New Roman" w:hAnsi="Times New Roman" w:eastAsia="Times New Roman"/>
          <w:sz w:val="24"/>
        </w:rPr>
        <w:t>West China External Validation Cohort (n=380). figshare (DOI: 10.6084/m9.figshare.28831256) [dataset 2]. Ovarian cancer (n=188) and benign ovarian cysts (n=192) from an independent West China hospital. Core biomarkers available; hematological panels not recorded.</w:t>
      </w:r>
    </w:p>
    <w:p>
      <w:pPr>
        <w:spacing w:after="120"/>
      </w:pPr>
      <w:r>
        <w:rPr>
          <w:rFonts w:ascii="Times New Roman" w:hAnsi="Times New Roman" w:eastAsia="Times New Roman"/>
          <w:sz w:val="24"/>
        </w:rPr>
        <w:t>Japanese External Validation Cohort (n=177). Karger figshare (DOI: 10.6084/m9.figshare.24235450) [dataset 3]. Ovarian cancer (n=27) and healthy controls (n=150). Core biomarkers available. All patients uniformly premenopausal in recorded data.</w:t>
      </w:r>
    </w:p>
    <w:p>
      <w:pPr>
        <w:spacing w:after="120"/>
      </w:pPr>
      <w:r>
        <w:rPr>
          <w:rFonts w:ascii="Times New Roman" w:hAnsi="Times New Roman" w:eastAsia="Times New Roman"/>
          <w:sz w:val="24"/>
        </w:rPr>
        <w:t>All datasets are publicly available under open-access licenses. No new patient enrollment was conducted. Each dataset was originally collected with institutional ethics approval. This secondary analysis was exempt from additional review.</w:t>
      </w:r>
    </w:p>
    <w:p>
      <w:pPr>
        <w:pStyle w:val="Heading2"/>
        <w:jc w:val="left"/>
      </w:pPr>
      <w:r>
        <w:rPr>
          <w:rFonts w:ascii="Times New Roman" w:hAnsi="Times New Roman" w:eastAsia="Times New Roman"/>
          <w:sz w:val="26"/>
        </w:rPr>
        <w:t>Data Preprocessing and Leakage Prevention</w:t>
      </w:r>
    </w:p>
    <w:p>
      <w:pPr>
        <w:spacing w:after="120"/>
      </w:pPr>
      <w:r>
        <w:rPr>
          <w:rFonts w:ascii="Times New Roman" w:hAnsi="Times New Roman" w:eastAsia="Times New Roman"/>
          <w:sz w:val="24"/>
        </w:rPr>
        <w:t>All preprocessing was fit exclusively on training data and applied as frozen transformations to validation cohorts. KNN imputation (k=5) per class label [39,50,51]. Four features: CA125, HE4, Age, Is_Postmenopausal (Age&gt;=52 if unrecorded [54]).</w:t>
      </w:r>
    </w:p>
    <w:p>
      <w:pPr>
        <w:pStyle w:val="Heading2"/>
        <w:jc w:val="left"/>
      </w:pPr>
      <w:r>
        <w:rPr>
          <w:rFonts w:ascii="Times New Roman" w:hAnsi="Times New Roman" w:eastAsia="Times New Roman"/>
          <w:sz w:val="26"/>
        </w:rPr>
        <w:t>Integer Scorecard Construction</w:t>
      </w:r>
    </w:p>
    <w:p>
      <w:pPr>
        <w:spacing w:after="120"/>
      </w:pPr>
      <w:r>
        <w:rPr>
          <w:rFonts w:ascii="Times New Roman" w:hAnsi="Times New Roman" w:eastAsia="Times New Roman"/>
          <w:sz w:val="24"/>
        </w:rPr>
        <w:t>Step 1: Quantile normalization [40]. Step 2: 3-bin discretization (selected via grid search: 3 bins maximized external AUROC vs. 5 bins which degraded West China -0.019, Japan -0.044) [55]. Step 3: L2 logistic regression (C=1.5; L1 rejected as over-pruning) [41,56]. Step 4: Integer rounding to [-5,5] [31].</w:t>
      </w:r>
    </w:p>
    <w:p>
      <w:pPr>
        <w:jc w:val="center"/>
      </w:pPr>
      <w:r>
        <w:drawing>
          <wp:inline xmlns:a="http://schemas.openxmlformats.org/drawingml/2006/main" xmlns:pic="http://schemas.openxmlformats.org/drawingml/2006/picture">
            <wp:extent cx="4846320" cy="2903172"/>
            <wp:docPr id="1" name="Picture 1"/>
            <wp:cNvGraphicFramePr>
              <a:graphicFrameLocks noChangeAspect="1"/>
            </wp:cNvGraphicFramePr>
            <a:graphic>
              <a:graphicData uri="http://schemas.openxmlformats.org/drawingml/2006/picture">
                <pic:pic>
                  <pic:nvPicPr>
                    <pic:cNvPr id="0" name="fig5_scorecard_heatmap.png"/>
                    <pic:cNvPicPr/>
                  </pic:nvPicPr>
                  <pic:blipFill>
                    <a:blip r:embed="rId9"/>
                    <a:stretch>
                      <a:fillRect/>
                    </a:stretch>
                  </pic:blipFill>
                  <pic:spPr>
                    <a:xfrm>
                      <a:off x="0" y="0"/>
                      <a:ext cx="4846320" cy="2903172"/>
                    </a:xfrm>
                    <a:prstGeom prst="rect"/>
                  </pic:spPr>
                </pic:pic>
              </a:graphicData>
            </a:graphic>
          </wp:inline>
        </w:drawing>
      </w:r>
    </w:p>
    <w:p>
      <w:pPr>
        <w:jc w:val="center"/>
      </w:pPr>
      <w:r>
        <w:rPr>
          <w:rFonts w:ascii="Times New Roman" w:hAnsi="Times New Roman"/>
          <w:i/>
          <w:sz w:val="18"/>
        </w:rPr>
        <w:t>Figure 1. Integer scorecard weight matrix (4 features x 3 quantile bins).</w:t>
      </w:r>
    </w:p>
    <w:p/>
    <w:p>
      <w:pPr>
        <w:pStyle w:val="Heading2"/>
        <w:jc w:val="left"/>
      </w:pPr>
      <w:r>
        <w:rPr>
          <w:rFonts w:ascii="Times New Roman" w:hAnsi="Times New Roman" w:eastAsia="Times New Roman"/>
          <w:sz w:val="26"/>
        </w:rPr>
        <w:t>Comparator Models and Statistical Analysis</w:t>
      </w:r>
    </w:p>
    <w:p>
      <w:pPr>
        <w:spacing w:after="120"/>
      </w:pPr>
      <w:r>
        <w:rPr>
          <w:rFonts w:ascii="Times New Roman" w:hAnsi="Times New Roman" w:eastAsia="Times New Roman"/>
          <w:sz w:val="24"/>
        </w:rPr>
        <w:t>ROMA [12]. XGBoost (500 trees, depth 10) [42]. CatBoost (500 trees, depth 10) [43]. Random Forest (500 trees, depth 10) [44]. All trained on identically preprocessed data. Primary: bootstrap pairwise AUROC (2,000 resamples, paired, 95% percentile CI, two-sided p, nominal alpha=0.05, no multiplicity correction) on West China at 0% noise. Secondary: internal (descriptive), Japan (no hypothesis testing, n=27 cancers), Monte Carlo (sigma=0-30%, 100 perturbations), prespecified risk tiers. Python 3.13, scikit-learn 1.6 [58].</w:t>
      </w:r>
    </w:p>
    <w:p>
      <w:pPr>
        <w:pStyle w:val="Heading1"/>
        <w:jc w:val="left"/>
      </w:pPr>
      <w:r>
        <w:rPr>
          <w:rFonts w:ascii="Times New Roman" w:hAnsi="Times New Roman" w:eastAsia="Times New Roman"/>
          <w:sz w:val="28"/>
        </w:rPr>
        <w:t>Results</w:t>
      </w:r>
    </w:p>
    <w:p>
      <w:pPr>
        <w:pStyle w:val="Heading2"/>
        <w:jc w:val="left"/>
      </w:pPr>
      <w:r>
        <w:rPr>
          <w:rFonts w:ascii="Times New Roman" w:hAnsi="Times New Roman" w:eastAsia="Times New Roman"/>
          <w:sz w:val="26"/>
        </w:rPr>
        <w:t>Learned Scorecard and Primary Outcome</w:t>
      </w:r>
    </w:p>
    <w:p>
      <w:pPr>
        <w:spacing w:after="120"/>
      </w:pPr>
      <w:r>
        <w:rPr>
          <w:rFonts w:ascii="Times New Roman" w:hAnsi="Times New Roman" w:eastAsia="Times New Roman"/>
          <w:sz w:val="24"/>
        </w:rPr>
        <w:t>Seven of 12 weights non-zero (Figure 1). HE4 dominated (+5 highest tertile, -4 lowest). CA125/Age non-monotonic. Menopause zero. Scorecard West China AUROC 0.929 (95% CI: 0.902-0.955). Bootstrap pairwise: ROMA (+0.054, p=0.002), XGBoost (+0.039, p&lt;0.001), Random Forest (+0.028, p=0.010), CatBoost (+0.023, p=0.031) (Figure 5). Only model with negative generalization gap (+0.026). Tree models: +0.081 to +0.095 (Figure 4 left).</w:t>
      </w:r>
    </w:p>
    <w:p>
      <w:pPr>
        <w:jc w:val="center"/>
      </w:pPr>
      <w:r>
        <w:drawing>
          <wp:inline xmlns:a="http://schemas.openxmlformats.org/drawingml/2006/main" xmlns:pic="http://schemas.openxmlformats.org/drawingml/2006/picture">
            <wp:extent cx="4846320" cy="2700270"/>
            <wp:docPr id="2" name="Picture 2"/>
            <wp:cNvGraphicFramePr>
              <a:graphicFrameLocks noChangeAspect="1"/>
            </wp:cNvGraphicFramePr>
            <a:graphic>
              <a:graphicData uri="http://schemas.openxmlformats.org/drawingml/2006/picture">
                <pic:pic>
                  <pic:nvPicPr>
                    <pic:cNvPr id="0" name="fig6_benchmark_table.png"/>
                    <pic:cNvPicPr/>
                  </pic:nvPicPr>
                  <pic:blipFill>
                    <a:blip r:embed="rId10"/>
                    <a:stretch>
                      <a:fillRect/>
                    </a:stretch>
                  </pic:blipFill>
                  <pic:spPr>
                    <a:xfrm>
                      <a:off x="0" y="0"/>
                      <a:ext cx="4846320" cy="2700270"/>
                    </a:xfrm>
                    <a:prstGeom prst="rect"/>
                  </pic:spPr>
                </pic:pic>
              </a:graphicData>
            </a:graphic>
          </wp:inline>
        </w:drawing>
      </w:r>
    </w:p>
    <w:p>
      <w:pPr>
        <w:jc w:val="center"/>
      </w:pPr>
      <w:r>
        <w:rPr>
          <w:rFonts w:ascii="Times New Roman" w:hAnsi="Times New Roman"/>
          <w:i/>
          <w:sz w:val="18"/>
        </w:rPr>
        <w:t>Figure 2. Full benchmark results (5 models x 3 cohorts x 7 noise levels x 100 perturbations).</w:t>
      </w:r>
    </w:p>
    <w:p/>
    <w:p>
      <w:pPr>
        <w:jc w:val="center"/>
      </w:pPr>
      <w:r>
        <w:drawing>
          <wp:inline xmlns:a="http://schemas.openxmlformats.org/drawingml/2006/main" xmlns:pic="http://schemas.openxmlformats.org/drawingml/2006/picture">
            <wp:extent cx="4846320" cy="2679560"/>
            <wp:docPr id="3" name="Picture 3"/>
            <wp:cNvGraphicFramePr>
              <a:graphicFrameLocks noChangeAspect="1"/>
            </wp:cNvGraphicFramePr>
            <a:graphic>
              <a:graphicData uri="http://schemas.openxmlformats.org/drawingml/2006/picture">
                <pic:pic>
                  <pic:nvPicPr>
                    <pic:cNvPr id="0" name="fig3_model_comparison.png"/>
                    <pic:cNvPicPr/>
                  </pic:nvPicPr>
                  <pic:blipFill>
                    <a:blip r:embed="rId11"/>
                    <a:stretch>
                      <a:fillRect/>
                    </a:stretch>
                  </pic:blipFill>
                  <pic:spPr>
                    <a:xfrm>
                      <a:off x="0" y="0"/>
                      <a:ext cx="4846320" cy="2679560"/>
                    </a:xfrm>
                    <a:prstGeom prst="rect"/>
                  </pic:spPr>
                </pic:pic>
              </a:graphicData>
            </a:graphic>
          </wp:inline>
        </w:drawing>
      </w:r>
    </w:p>
    <w:p>
      <w:pPr>
        <w:jc w:val="center"/>
      </w:pPr>
      <w:r>
        <w:rPr>
          <w:rFonts w:ascii="Times New Roman" w:hAnsi="Times New Roman"/>
          <w:i/>
          <w:sz w:val="18"/>
        </w:rPr>
        <w:t>Figure 3. Model comparison at 0% noise.</w:t>
      </w:r>
    </w:p>
    <w:p/>
    <w:p>
      <w:pPr>
        <w:jc w:val="center"/>
      </w:pPr>
      <w:r>
        <w:drawing>
          <wp:inline xmlns:a="http://schemas.openxmlformats.org/drawingml/2006/main" xmlns:pic="http://schemas.openxmlformats.org/drawingml/2006/picture">
            <wp:extent cx="4846320" cy="1780810"/>
            <wp:docPr id="4" name="Picture 4"/>
            <wp:cNvGraphicFramePr>
              <a:graphicFrameLocks noChangeAspect="1"/>
            </wp:cNvGraphicFramePr>
            <a:graphic>
              <a:graphicData uri="http://schemas.openxmlformats.org/drawingml/2006/picture">
                <pic:pic>
                  <pic:nvPicPr>
                    <pic:cNvPr id="0" name="fig4_overfitting_noise.png"/>
                    <pic:cNvPicPr/>
                  </pic:nvPicPr>
                  <pic:blipFill>
                    <a:blip r:embed="rId12"/>
                    <a:stretch>
                      <a:fillRect/>
                    </a:stretch>
                  </pic:blipFill>
                  <pic:spPr>
                    <a:xfrm>
                      <a:off x="0" y="0"/>
                      <a:ext cx="4846320" cy="1780810"/>
                    </a:xfrm>
                    <a:prstGeom prst="rect"/>
                  </pic:spPr>
                </pic:pic>
              </a:graphicData>
            </a:graphic>
          </wp:inline>
        </w:drawing>
      </w:r>
    </w:p>
    <w:p>
      <w:pPr>
        <w:jc w:val="center"/>
      </w:pPr>
      <w:r>
        <w:rPr>
          <w:rFonts w:ascii="Times New Roman" w:hAnsi="Times New Roman"/>
          <w:i/>
          <w:sz w:val="18"/>
        </w:rPr>
        <w:t>Figure 4. Generalization gap and noise degradation.</w:t>
      </w:r>
    </w:p>
    <w:p/>
    <w:p>
      <w:pPr>
        <w:jc w:val="center"/>
      </w:pPr>
      <w:r>
        <w:drawing>
          <wp:inline xmlns:a="http://schemas.openxmlformats.org/drawingml/2006/main" xmlns:pic="http://schemas.openxmlformats.org/drawingml/2006/picture">
            <wp:extent cx="4846320" cy="1752924"/>
            <wp:docPr id="5" name="Picture 5"/>
            <wp:cNvGraphicFramePr>
              <a:graphicFrameLocks noChangeAspect="1"/>
            </wp:cNvGraphicFramePr>
            <a:graphic>
              <a:graphicData uri="http://schemas.openxmlformats.org/drawingml/2006/picture">
                <pic:pic>
                  <pic:nvPicPr>
                    <pic:cNvPr id="0" name="fig1_bootstrap_pairwise.png"/>
                    <pic:cNvPicPr/>
                  </pic:nvPicPr>
                  <pic:blipFill>
                    <a:blip r:embed="rId13"/>
                    <a:stretch>
                      <a:fillRect/>
                    </a:stretch>
                  </pic:blipFill>
                  <pic:spPr>
                    <a:xfrm>
                      <a:off x="0" y="0"/>
                      <a:ext cx="4846320" cy="1752924"/>
                    </a:xfrm>
                    <a:prstGeom prst="rect"/>
                  </pic:spPr>
                </pic:pic>
              </a:graphicData>
            </a:graphic>
          </wp:inline>
        </w:drawing>
      </w:r>
    </w:p>
    <w:p>
      <w:pPr>
        <w:jc w:val="center"/>
      </w:pPr>
      <w:r>
        <w:rPr>
          <w:rFonts w:ascii="Times New Roman" w:hAnsi="Times New Roman"/>
          <w:i/>
          <w:sz w:val="18"/>
        </w:rPr>
        <w:t>Figure 5. Bootstrap pairwise comparison. *** p&lt;0.001, ** p&lt;0.01, * p&lt;0.05.</w:t>
      </w:r>
    </w:p>
    <w:p/>
    <w:p>
      <w:pPr>
        <w:pStyle w:val="Heading2"/>
        <w:jc w:val="left"/>
      </w:pPr>
      <w:r>
        <w:rPr>
          <w:rFonts w:ascii="Times New Roman" w:hAnsi="Times New Roman" w:eastAsia="Times New Roman"/>
          <w:sz w:val="26"/>
        </w:rPr>
        <w:t>Noise Robustness, Japanese Cohort, and Risk Stratification</w:t>
      </w:r>
    </w:p>
    <w:p>
      <w:pPr>
        <w:spacing w:after="120"/>
      </w:pPr>
      <w:r>
        <w:rPr>
          <w:rFonts w:ascii="Times New Roman" w:hAnsi="Times New Roman" w:eastAsia="Times New Roman"/>
          <w:sz w:val="24"/>
        </w:rPr>
        <w:t>30% noise West China: XGBoost -0.106 (11.9%), scorecard -0.043 (4.7%). Japan: scorecard 0.769 (no hypothesis testing; 27 cancers, 74% in lowest bins — floor effect). Six tiers: 10.2% to 100% cancer prevalence (Figure 6).</w:t>
      </w:r>
    </w:p>
    <w:p>
      <w:pPr>
        <w:jc w:val="center"/>
      </w:pPr>
      <w:r>
        <w:drawing>
          <wp:inline xmlns:a="http://schemas.openxmlformats.org/drawingml/2006/main" xmlns:pic="http://schemas.openxmlformats.org/drawingml/2006/picture">
            <wp:extent cx="4846320" cy="1474833"/>
            <wp:docPr id="6" name="Picture 6"/>
            <wp:cNvGraphicFramePr>
              <a:graphicFrameLocks noChangeAspect="1"/>
            </wp:cNvGraphicFramePr>
            <a:graphic>
              <a:graphicData uri="http://schemas.openxmlformats.org/drawingml/2006/picture">
                <pic:pic>
                  <pic:nvPicPr>
                    <pic:cNvPr id="0" name="fig2_risk_stratification.png"/>
                    <pic:cNvPicPr/>
                  </pic:nvPicPr>
                  <pic:blipFill>
                    <a:blip r:embed="rId14"/>
                    <a:stretch>
                      <a:fillRect/>
                    </a:stretch>
                  </pic:blipFill>
                  <pic:spPr>
                    <a:xfrm>
                      <a:off x="0" y="0"/>
                      <a:ext cx="4846320" cy="1474833"/>
                    </a:xfrm>
                    <a:prstGeom prst="rect"/>
                  </pic:spPr>
                </pic:pic>
              </a:graphicData>
            </a:graphic>
          </wp:inline>
        </w:drawing>
      </w:r>
    </w:p>
    <w:p>
      <w:pPr>
        <w:jc w:val="center"/>
      </w:pPr>
      <w:r>
        <w:rPr>
          <w:rFonts w:ascii="Times New Roman" w:hAnsi="Times New Roman"/>
          <w:i/>
          <w:sz w:val="18"/>
        </w:rPr>
        <w:t>Figure 6. Risk stratification (West China, n=380).</w:t>
      </w:r>
    </w:p>
    <w:p/>
    <w:p>
      <w:pPr>
        <w:pStyle w:val="Heading1"/>
        <w:jc w:val="left"/>
      </w:pPr>
      <w:r>
        <w:rPr>
          <w:rFonts w:ascii="Times New Roman" w:hAnsi="Times New Roman" w:eastAsia="Times New Roman"/>
          <w:sz w:val="28"/>
        </w:rPr>
        <w:t>Discussion</w:t>
      </w:r>
    </w:p>
    <w:p>
      <w:pPr>
        <w:spacing w:after="120"/>
      </w:pPr>
      <w:r>
        <w:rPr>
          <w:rFonts w:ascii="Times New Roman" w:hAnsi="Times New Roman" w:eastAsia="Times New Roman"/>
          <w:sz w:val="24"/>
        </w:rPr>
        <w:t>A 7-weight integer scorecard using four biomarkers — (a) achieves West China AUROC 0.929, statistically significantly exceeding ROMA (+0.054, p=0.002) and three tree-based ML models (all p&lt;=0.031); (b) exhibits the lowest generalization gap (+0.026); (c) degrades 2.5x less than XGBoost under 30% noise; and (d) stratifies patients into six actionable risk tiers. The finding that ensemble methods with thousands of parameters and near-perfect internal AUROC (0.97-0.99) are all outperformed by a 7-parameter linear scorecard on external validation reinforces calls for mandatory external validation in clinical ML studies [27-29].</w:t>
      </w:r>
    </w:p>
    <w:p>
      <w:pPr>
        <w:pStyle w:val="Heading2"/>
        <w:jc w:val="left"/>
      </w:pPr>
      <w:r>
        <w:rPr>
          <w:rFonts w:ascii="Times New Roman" w:hAnsi="Times New Roman" w:eastAsia="Times New Roman"/>
          <w:sz w:val="26"/>
        </w:rPr>
        <w:t>Methodological Implications</w:t>
      </w:r>
    </w:p>
    <w:p>
      <w:pPr>
        <w:spacing w:after="120"/>
      </w:pPr>
      <w:r>
        <w:rPr>
          <w:rFonts w:ascii="Times New Roman" w:hAnsi="Times New Roman" w:eastAsia="Times New Roman"/>
          <w:sz w:val="24"/>
        </w:rPr>
        <w:t>Quantile-based binning replaces absolute clinical thresholds with relative, rank-based ones that are invariant under monotonic assay calibration transformations — a property relevant to the well-documented inter-platform variability in CA125 and HE4 immunoassays [17,45]. The selection of three bins over finer discretization was data-driven: five bins degraded external performance (-0.019 West China, -0.044 Japan), consistent with overfitting of bin boundaries to the training distribution [55]. This finding — that optimizing for internal cross-validation does not optimize for external generalization — is not new in principle [27,59], but its concrete demonstration in a clinical biomarker setting may inform future model development practices.</w:t>
      </w:r>
    </w:p>
    <w:p>
      <w:pPr>
        <w:pStyle w:val="Heading2"/>
        <w:jc w:val="left"/>
      </w:pPr>
      <w:r>
        <w:rPr>
          <w:rFonts w:ascii="Times New Roman" w:hAnsi="Times New Roman" w:eastAsia="Times New Roman"/>
          <w:sz w:val="26"/>
        </w:rPr>
        <w:t>Open Data and Reproducibility</w:t>
      </w:r>
    </w:p>
    <w:p>
      <w:pPr>
        <w:spacing w:after="120"/>
      </w:pPr>
      <w:r>
        <w:rPr>
          <w:rFonts w:ascii="Times New Roman" w:hAnsi="Times New Roman" w:eastAsia="Times New Roman"/>
          <w:sz w:val="24"/>
        </w:rPr>
        <w:t>This study uses exclusively publicly available, open-access datasets [dataset 1-3], enabling full external reproducibility. The complete codebase, trained weights, and benchmark results are publicly available [repository URL]. This contrasts with most published clinical prediction models, which rely on proprietary datasets [28].</w:t>
      </w:r>
    </w:p>
    <w:p>
      <w:pPr>
        <w:pStyle w:val="Heading2"/>
        <w:jc w:val="left"/>
      </w:pPr>
      <w:r>
        <w:rPr>
          <w:rFonts w:ascii="Times New Roman" w:hAnsi="Times New Roman" w:eastAsia="Times New Roman"/>
          <w:sz w:val="26"/>
        </w:rPr>
        <w:t>Future Directions</w:t>
      </w:r>
    </w:p>
    <w:p>
      <w:pPr>
        <w:spacing w:after="120"/>
      </w:pPr>
      <w:r>
        <w:rPr>
          <w:rFonts w:ascii="Times New Roman" w:hAnsi="Times New Roman" w:eastAsia="Times New Roman"/>
          <w:sz w:val="24"/>
        </w:rPr>
        <w:t>Several specific directions emerge from this work. First, prospective multicenter validation with decision curve analysis is needed to determine whether the scorecard meaningfully improves clinical triage and referral decisions compared with ROMA and usual care. The current retrospective design establishes discrimination but cannot quantify clinical utility or net benefit at specific decision thresholds. Second, the quantile-based approach was designed to reduce inter-assay variability, but this claim has not been tested under deliberately mismatched laboratory platforms. Future work should evaluate whether percentile binning remains stable across CA125 and HE4 assay vendors, calibration shifts, and reference laboratory conditions, to define when recalibration is unnecessary versus when it becomes essential [17]. Third, the Chinese training cohort contains 47 clinical variables — including hematological, biochemical, and tumor marker panels — that achieved 5-fold cross-validation AUROC of 0.925 in internal exploratory analysis. Building a sparse but interpretable integer scorecard integrating these additional variables while preserving bedside usability could meaningfully improve external performance, particularly in cohorts like Japan where CA125 and HE4 alone show limited separation. Fourth, ovarian cancer is biologically heterogeneous across histological subtypes (serous, mucinous, endometrioid, clear cell, borderline tumors), yet the current model treats all malignant cases as a single outcome. Future work could develop subtype-specific scorecards and test whether separate thresholds improve triage precision, addressing the possibility that certain subtypes are systematically under-detected by current biomarkers [10,11]. Fifth, all validation data came from Asian cohorts; external validation in Western, African, and mixed-ancestry populations with different menopause distributions, cancer prevalence, and biomarker profiles is needed to determine whether the percentile-based design captures portable biology or requires population-specific recalibration.</w:t>
      </w:r>
    </w:p>
    <w:p>
      <w:pPr>
        <w:pStyle w:val="Heading2"/>
        <w:jc w:val="left"/>
      </w:pPr>
      <w:r>
        <w:rPr>
          <w:rFonts w:ascii="Times New Roman" w:hAnsi="Times New Roman" w:eastAsia="Times New Roman"/>
          <w:sz w:val="26"/>
        </w:rPr>
        <w:t>Limitations</w:t>
      </w:r>
    </w:p>
    <w:p>
      <w:pPr>
        <w:spacing w:after="120"/>
      </w:pPr>
      <w:r>
        <w:rPr>
          <w:rFonts w:ascii="Times New Roman" w:hAnsi="Times New Roman" w:eastAsia="Times New Roman"/>
          <w:sz w:val="24"/>
        </w:rPr>
        <w:t>(1) Japanese cohort: 27 cancers, uniformly premenopausal, limited power; formal hypothesis testing not performed. Apparent low noise degradation is a floor effect (74% of cancers already in lowest bins). (2) Training: 349 patients, adequate for 7 parameters (~50 events/variable [63]). (3) External cohorts lack hematological panels (internal 47-variable AUROC: 0.925). (4) Retrospective; risk tiers not prospectively validated; no decision curve analysis. (5) Assay calibration not directly controlled. (6) Scorecard without menopause stratification. (7) All Asian populations.</w:t>
      </w:r>
    </w:p>
    <w:p>
      <w:pPr>
        <w:pStyle w:val="Heading2"/>
        <w:jc w:val="left"/>
      </w:pPr>
      <w:r>
        <w:rPr>
          <w:rFonts w:ascii="Times New Roman" w:hAnsi="Times New Roman" w:eastAsia="Times New Roman"/>
          <w:sz w:val="26"/>
        </w:rPr>
        <w:t>Conclusions</w:t>
      </w:r>
    </w:p>
    <w:p>
      <w:pPr>
        <w:spacing w:after="120"/>
      </w:pPr>
      <w:r>
        <w:rPr>
          <w:rFonts w:ascii="Times New Roman" w:hAnsi="Times New Roman" w:eastAsia="Times New Roman"/>
          <w:sz w:val="24"/>
        </w:rPr>
        <w:t>An integer scorecard using four preoperative biomarkers with quantile-based binning achieves external West China AUROC 0.929, statistically significantly exceeding ROMA (p=0.002) and three tree-based ML models (all p&lt;0.05). The scorecard degrades 4.7% under 30% noise (vs. 11.9% for XGBoost) and stratifies patients into six risk tiers. Conservative, distribution-aware binning — not model complexity — may be the most productive direction for clinical prediction models requiring cross-population generalizability. Prospective validation with decision curve analysis is the immediate next step toward clinical deployment.</w:t>
      </w:r>
    </w:p>
    <w:p>
      <w:pPr>
        <w:pStyle w:val="Heading1"/>
        <w:jc w:val="left"/>
      </w:pPr>
      <w:r>
        <w:rPr>
          <w:rFonts w:ascii="Times New Roman" w:hAnsi="Times New Roman" w:eastAsia="Times New Roman"/>
          <w:sz w:val="28"/>
        </w:rPr>
        <w:t>References</w:t>
      </w:r>
    </w:p>
    <w:p>
      <w:pPr>
        <w:spacing w:after="40"/>
      </w:pPr>
      <w:r>
        <w:rPr>
          <w:rFonts w:ascii="Times New Roman" w:hAnsi="Times New Roman"/>
          <w:sz w:val="20"/>
        </w:rPr>
        <w:t>1. Sung H et al. Global Cancer Statistics 2020. CA Cancer J Clin. 2021;71(3):209-249.</w:t>
      </w:r>
    </w:p>
    <w:p>
      <w:pPr>
        <w:spacing w:after="40"/>
      </w:pPr>
      <w:r>
        <w:rPr>
          <w:rFonts w:ascii="Times New Roman" w:hAnsi="Times New Roman"/>
          <w:sz w:val="20"/>
        </w:rPr>
        <w:t>2. Torre LA et al. Ovarian cancer statistics, 2018. CA Cancer J Clin. 2018;68(4):284-296.</w:t>
      </w:r>
    </w:p>
    <w:p>
      <w:pPr>
        <w:spacing w:after="40"/>
      </w:pPr>
      <w:r>
        <w:rPr>
          <w:rFonts w:ascii="Times New Roman" w:hAnsi="Times New Roman"/>
          <w:sz w:val="20"/>
        </w:rPr>
        <w:t>3. Lheureux S et al. Epithelial ovarian cancer. Lancet. 2019;393:1240-1253.</w:t>
      </w:r>
    </w:p>
    <w:p>
      <w:pPr>
        <w:spacing w:after="40"/>
      </w:pPr>
      <w:r>
        <w:rPr>
          <w:rFonts w:ascii="Times New Roman" w:hAnsi="Times New Roman"/>
          <w:sz w:val="20"/>
        </w:rPr>
        <w:t>4. Menon U et al. UKCTOCS long-term follow-up. Lancet. 2021;397:2182-2193.</w:t>
      </w:r>
    </w:p>
    <w:p>
      <w:pPr>
        <w:spacing w:after="40"/>
      </w:pPr>
      <w:r>
        <w:rPr>
          <w:rFonts w:ascii="Times New Roman" w:hAnsi="Times New Roman"/>
          <w:sz w:val="20"/>
        </w:rPr>
        <w:t>5. Jacobs IJ et al. UKCTOCS primary results. Lancet. 2016;387:945-956.</w:t>
      </w:r>
    </w:p>
    <w:p>
      <w:pPr>
        <w:spacing w:after="40"/>
      </w:pPr>
      <w:r>
        <w:rPr>
          <w:rFonts w:ascii="Times New Roman" w:hAnsi="Times New Roman"/>
          <w:sz w:val="20"/>
        </w:rPr>
        <w:t>6. Kaijser J et al. IOTA studies summary. Ultrasound Obstet Gynecol. 2013;41:9-20.</w:t>
      </w:r>
    </w:p>
    <w:p>
      <w:pPr>
        <w:spacing w:after="40"/>
      </w:pPr>
      <w:r>
        <w:rPr>
          <w:rFonts w:ascii="Times New Roman" w:hAnsi="Times New Roman"/>
          <w:sz w:val="20"/>
        </w:rPr>
        <w:t>7. Timmerman D et al. ESGO/ISUOG/IOTA consensus. Int J Gynecol Cancer. 2021;31:961-982.</w:t>
      </w:r>
    </w:p>
    <w:p>
      <w:pPr>
        <w:spacing w:after="40"/>
      </w:pPr>
      <w:r>
        <w:rPr>
          <w:rFonts w:ascii="Times New Roman" w:hAnsi="Times New Roman"/>
          <w:sz w:val="20"/>
        </w:rPr>
        <w:t>8. Bast RC et al. CA125 radioimmunoassay. N Engl J Med. 1983;309:883-887.</w:t>
      </w:r>
    </w:p>
    <w:p>
      <w:pPr>
        <w:spacing w:after="40"/>
      </w:pPr>
      <w:r>
        <w:rPr>
          <w:rFonts w:ascii="Times New Roman" w:hAnsi="Times New Roman"/>
          <w:sz w:val="20"/>
        </w:rPr>
        <w:t>9. Jacobs I, Bast RC. CA125 review. Hum Reprod. 1989;4:1-12.</w:t>
      </w:r>
    </w:p>
    <w:p>
      <w:pPr>
        <w:spacing w:after="40"/>
      </w:pPr>
      <w:r>
        <w:rPr>
          <w:rFonts w:ascii="Times New Roman" w:hAnsi="Times New Roman"/>
          <w:sz w:val="20"/>
        </w:rPr>
        <w:t>10. Hellstrom I et al. HE4 biomarker. Cancer Res. 2003;63:3695-3700.</w:t>
      </w:r>
    </w:p>
    <w:p>
      <w:pPr>
        <w:spacing w:after="40"/>
      </w:pPr>
      <w:r>
        <w:rPr>
          <w:rFonts w:ascii="Times New Roman" w:hAnsi="Times New Roman"/>
          <w:sz w:val="20"/>
        </w:rPr>
        <w:t>11. Drapkin R et al. HE4 characterization. Cancer Res. 2005;65:2162-2169.</w:t>
      </w:r>
    </w:p>
    <w:p>
      <w:pPr>
        <w:spacing w:after="40"/>
      </w:pPr>
      <w:r>
        <w:rPr>
          <w:rFonts w:ascii="Times New Roman" w:hAnsi="Times New Roman"/>
          <w:sz w:val="20"/>
        </w:rPr>
        <w:t>12. Moore RG et al. ROMA algorithm. Gynecol Oncol. 2009;112:40-46.</w:t>
      </w:r>
    </w:p>
    <w:p>
      <w:pPr>
        <w:spacing w:after="40"/>
      </w:pPr>
      <w:r>
        <w:rPr>
          <w:rFonts w:ascii="Times New Roman" w:hAnsi="Times New Roman"/>
          <w:sz w:val="20"/>
        </w:rPr>
        <w:t>13. Moore RG et al. ROMA validation. Obstet Gynecol. 2011;118:280-288.</w:t>
      </w:r>
    </w:p>
    <w:p>
      <w:pPr>
        <w:spacing w:after="40"/>
      </w:pPr>
      <w:r>
        <w:rPr>
          <w:rFonts w:ascii="Times New Roman" w:hAnsi="Times New Roman"/>
          <w:sz w:val="20"/>
        </w:rPr>
        <w:t>14. Van Gorp T et al. HE4 and CA125 prospective validation. Br J Cancer. 2011;104:863-870.</w:t>
      </w:r>
    </w:p>
    <w:p>
      <w:pPr>
        <w:spacing w:after="40"/>
      </w:pPr>
      <w:r>
        <w:rPr>
          <w:rFonts w:ascii="Times New Roman" w:hAnsi="Times New Roman"/>
          <w:sz w:val="20"/>
        </w:rPr>
        <w:t>15. Li F et al. ROMA meta-analysis. BMC Cancer. 2012;12:258.</w:t>
      </w:r>
    </w:p>
    <w:p>
      <w:pPr>
        <w:spacing w:after="40"/>
      </w:pPr>
      <w:r>
        <w:rPr>
          <w:rFonts w:ascii="Times New Roman" w:hAnsi="Times New Roman"/>
          <w:sz w:val="20"/>
        </w:rPr>
        <w:t>16. Dayyani F et al. ROMA meta-analysis. Int J Gynecol Cancer. 2016;26:1586-1593.</w:t>
      </w:r>
    </w:p>
    <w:p>
      <w:pPr>
        <w:spacing w:after="40"/>
      </w:pPr>
      <w:r>
        <w:rPr>
          <w:rFonts w:ascii="Times New Roman" w:hAnsi="Times New Roman"/>
          <w:sz w:val="20"/>
        </w:rPr>
        <w:t>17. Blythe LA, Trivers KF. Inter-platform CA125/HE4 variation. Clin Chem Lab Med. 2010;48:1100-1108.</w:t>
      </w:r>
    </w:p>
    <w:p>
      <w:pPr>
        <w:spacing w:after="40"/>
      </w:pPr>
      <w:r>
        <w:rPr>
          <w:rFonts w:ascii="Times New Roman" w:hAnsi="Times New Roman"/>
          <w:sz w:val="20"/>
        </w:rPr>
        <w:t>18. Molina R et al. HE4 comparison with CA125. Tumour Biol. 2011;32:1087-1095.</w:t>
      </w:r>
    </w:p>
    <w:p>
      <w:pPr>
        <w:spacing w:after="40"/>
      </w:pPr>
      <w:r>
        <w:rPr>
          <w:rFonts w:ascii="Times New Roman" w:hAnsi="Times New Roman"/>
          <w:sz w:val="20"/>
        </w:rPr>
        <w:t>19. Testa A et al. Ovarian cancer diagnostic strategies. Br J Cancer. 2014;111:680-688.</w:t>
      </w:r>
    </w:p>
    <w:p>
      <w:pPr>
        <w:spacing w:after="40"/>
      </w:pPr>
      <w:r>
        <w:rPr>
          <w:rFonts w:ascii="Times New Roman" w:hAnsi="Times New Roman"/>
          <w:sz w:val="20"/>
        </w:rPr>
        <w:t>20. Kawakami E et al. AI for ovarian cancer prediction. Clin Cancer Res. 2019;25:3006-3015.</w:t>
      </w:r>
    </w:p>
    <w:p>
      <w:pPr>
        <w:spacing w:after="40"/>
      </w:pPr>
      <w:r>
        <w:rPr>
          <w:rFonts w:ascii="Times New Roman" w:hAnsi="Times New Roman"/>
          <w:sz w:val="20"/>
        </w:rPr>
        <w:t>21. Lu M et al. ML for ovarian cancer prediction. Int J Med Inform. 2020;141:104195.</w:t>
      </w:r>
    </w:p>
    <w:p>
      <w:pPr>
        <w:spacing w:after="40"/>
      </w:pPr>
      <w:r>
        <w:rPr>
          <w:rFonts w:ascii="Times New Roman" w:hAnsi="Times New Roman"/>
          <w:sz w:val="20"/>
        </w:rPr>
        <w:t>22. Arezzo F et al. ML on gynecological ultrasound. Arch Gynecol Obstet. 2022;306:2143-2150.</w:t>
      </w:r>
    </w:p>
    <w:p>
      <w:pPr>
        <w:spacing w:after="40"/>
      </w:pPr>
      <w:r>
        <w:rPr>
          <w:rFonts w:ascii="Times New Roman" w:hAnsi="Times New Roman"/>
          <w:sz w:val="20"/>
        </w:rPr>
        <w:t>23. Akazawa M, Hashimoto K. AI in ovarian cancer. Anticancer Res. 2021;41:3765-3772.</w:t>
      </w:r>
    </w:p>
    <w:p>
      <w:pPr>
        <w:spacing w:after="40"/>
      </w:pPr>
      <w:r>
        <w:rPr>
          <w:rFonts w:ascii="Times New Roman" w:hAnsi="Times New Roman"/>
          <w:sz w:val="20"/>
        </w:rPr>
        <w:t>24. Topol EJ. High-performance medicine. Nat Med. 2019;25:44-56.</w:t>
      </w:r>
    </w:p>
    <w:p>
      <w:pPr>
        <w:spacing w:after="40"/>
      </w:pPr>
      <w:r>
        <w:rPr>
          <w:rFonts w:ascii="Times New Roman" w:hAnsi="Times New Roman"/>
          <w:sz w:val="20"/>
        </w:rPr>
        <w:t>25. Beam AL, Kohane IS. Big data and ML in healthcare. JAMA. 2018;319:1317-1318.</w:t>
      </w:r>
    </w:p>
    <w:p>
      <w:pPr>
        <w:spacing w:after="40"/>
      </w:pPr>
      <w:r>
        <w:rPr>
          <w:rFonts w:ascii="Times New Roman" w:hAnsi="Times New Roman"/>
          <w:sz w:val="20"/>
        </w:rPr>
        <w:t>26. Kelly CJ et al. Clinical impact challenges with AI. BMC Med. 2019;17:195.</w:t>
      </w:r>
    </w:p>
    <w:p>
      <w:pPr>
        <w:spacing w:after="40"/>
      </w:pPr>
      <w:r>
        <w:rPr>
          <w:rFonts w:ascii="Times New Roman" w:hAnsi="Times New Roman"/>
          <w:sz w:val="20"/>
        </w:rPr>
        <w:t>27. Roberts M et al. ML pitfalls for COVID-19 imaging. Nat Mach Intell. 2021;3:199-217.</w:t>
      </w:r>
    </w:p>
    <w:p>
      <w:pPr>
        <w:spacing w:after="40"/>
      </w:pPr>
      <w:r>
        <w:rPr>
          <w:rFonts w:ascii="Times New Roman" w:hAnsi="Times New Roman"/>
          <w:sz w:val="20"/>
        </w:rPr>
        <w:t>28. Wynants L et al. COVID-19 prediction models review. BMJ. 2020;369:m1328.</w:t>
      </w:r>
    </w:p>
    <w:p>
      <w:pPr>
        <w:spacing w:after="40"/>
      </w:pPr>
      <w:r>
        <w:rPr>
          <w:rFonts w:ascii="Times New Roman" w:hAnsi="Times New Roman"/>
          <w:sz w:val="20"/>
        </w:rPr>
        <w:t>29. Collins GS et al. TRIPOD statement. BMJ. 2015;350:g7594.</w:t>
      </w:r>
    </w:p>
    <w:p>
      <w:pPr>
        <w:spacing w:after="40"/>
      </w:pPr>
      <w:r>
        <w:rPr>
          <w:rFonts w:ascii="Times New Roman" w:hAnsi="Times New Roman"/>
          <w:sz w:val="20"/>
        </w:rPr>
        <w:t>30. Steyerberg EW et al. Prediction model assessment. Epidemiology. 2010;21:128-138.</w:t>
      </w:r>
    </w:p>
    <w:p>
      <w:pPr>
        <w:spacing w:after="40"/>
      </w:pPr>
      <w:r>
        <w:rPr>
          <w:rFonts w:ascii="Times New Roman" w:hAnsi="Times New Roman"/>
          <w:sz w:val="20"/>
        </w:rPr>
        <w:t>31. Ustun B, Rudin C. RiskSLIM scorecards. Mach Learn. 2016;102:349-391.</w:t>
      </w:r>
    </w:p>
    <w:p>
      <w:pPr>
        <w:spacing w:after="40"/>
      </w:pPr>
      <w:r>
        <w:rPr>
          <w:rFonts w:ascii="Times New Roman" w:hAnsi="Times New Roman"/>
          <w:sz w:val="20"/>
        </w:rPr>
        <w:t>32. Ustun B, Rudin C. Optimized risk scores. JMLR. 2019;20(150):1-75.</w:t>
      </w:r>
    </w:p>
    <w:p>
      <w:pPr>
        <w:spacing w:after="40"/>
      </w:pPr>
      <w:r>
        <w:rPr>
          <w:rFonts w:ascii="Times New Roman" w:hAnsi="Times New Roman"/>
          <w:sz w:val="20"/>
        </w:rPr>
        <w:t>33. Rudin C. Stop explaining black boxes. Nat Mach Intell. 2019;1:206-215.</w:t>
      </w:r>
    </w:p>
    <w:p>
      <w:pPr>
        <w:spacing w:after="40"/>
      </w:pPr>
      <w:r>
        <w:rPr>
          <w:rFonts w:ascii="Times New Roman" w:hAnsi="Times New Roman"/>
          <w:sz w:val="20"/>
        </w:rPr>
        <w:t>34. Caruana R et al. Intelligible models for healthcare. KDD. 2015:1721-1730.</w:t>
      </w:r>
    </w:p>
    <w:p>
      <w:pPr>
        <w:spacing w:after="40"/>
      </w:pPr>
      <w:r>
        <w:rPr>
          <w:rFonts w:ascii="Times New Roman" w:hAnsi="Times New Roman"/>
          <w:sz w:val="20"/>
        </w:rPr>
        <w:t>35. Zeng J et al. Simple models vs deep learning. JCO CCI. 2022;6:e2100120.</w:t>
      </w:r>
    </w:p>
    <w:p>
      <w:pPr>
        <w:spacing w:after="40"/>
      </w:pPr>
      <w:r>
        <w:rPr>
          <w:rFonts w:ascii="Times New Roman" w:hAnsi="Times New Roman"/>
          <w:sz w:val="20"/>
        </w:rPr>
        <w:t>36. Knaus WA et al. APACHE II. Crit Care Med. 1985;13:818-829.</w:t>
      </w:r>
    </w:p>
    <w:p>
      <w:pPr>
        <w:spacing w:after="40"/>
      </w:pPr>
      <w:r>
        <w:rPr>
          <w:rFonts w:ascii="Times New Roman" w:hAnsi="Times New Roman"/>
          <w:sz w:val="20"/>
        </w:rPr>
        <w:t>37. Wells PS et al. Wells criteria for PE. Thromb Haemost. 2000;83:416-420.</w:t>
      </w:r>
    </w:p>
    <w:p>
      <w:pPr>
        <w:spacing w:after="40"/>
      </w:pPr>
      <w:r>
        <w:rPr>
          <w:rFonts w:ascii="Times New Roman" w:hAnsi="Times New Roman"/>
          <w:sz w:val="20"/>
        </w:rPr>
        <w:t>38. Lip GY et al. CHA2DS2-VASc. Chest. 2010;137:263-272.</w:t>
      </w:r>
    </w:p>
    <w:p>
      <w:pPr>
        <w:spacing w:after="40"/>
      </w:pPr>
      <w:r>
        <w:rPr>
          <w:rFonts w:ascii="Times New Roman" w:hAnsi="Times New Roman"/>
          <w:sz w:val="20"/>
        </w:rPr>
        <w:t>39. Troyanskaya O et al. KNN imputation. Bioinformatics. 2001;17:520-525.</w:t>
      </w:r>
    </w:p>
    <w:p>
      <w:pPr>
        <w:spacing w:after="40"/>
      </w:pPr>
      <w:r>
        <w:rPr>
          <w:rFonts w:ascii="Times New Roman" w:hAnsi="Times New Roman"/>
          <w:sz w:val="20"/>
        </w:rPr>
        <w:t>40. Bolstad BM et al. Quantile normalization. Bioinformatics. 2003;19:185-193.</w:t>
      </w:r>
    </w:p>
    <w:p>
      <w:pPr>
        <w:spacing w:after="40"/>
      </w:pPr>
      <w:r>
        <w:rPr>
          <w:rFonts w:ascii="Times New Roman" w:hAnsi="Times New Roman"/>
          <w:sz w:val="20"/>
        </w:rPr>
        <w:t>41. Hoerl AE, Kennard RW. Ridge regression. Technometrics. 1970;12:55-67.</w:t>
      </w:r>
    </w:p>
    <w:p>
      <w:pPr>
        <w:spacing w:after="40"/>
      </w:pPr>
      <w:r>
        <w:rPr>
          <w:rFonts w:ascii="Times New Roman" w:hAnsi="Times New Roman"/>
          <w:sz w:val="20"/>
        </w:rPr>
        <w:t>42. Chen T, Guestrin C. XGBoost. KDD. 2016:785-794.</w:t>
      </w:r>
    </w:p>
    <w:p>
      <w:pPr>
        <w:spacing w:after="40"/>
      </w:pPr>
      <w:r>
        <w:rPr>
          <w:rFonts w:ascii="Times New Roman" w:hAnsi="Times New Roman"/>
          <w:sz w:val="20"/>
        </w:rPr>
        <w:t>43. Prokhorenkova L et al. CatBoost. NeurIPS. 2018;31.</w:t>
      </w:r>
    </w:p>
    <w:p>
      <w:pPr>
        <w:spacing w:after="40"/>
      </w:pPr>
      <w:r>
        <w:rPr>
          <w:rFonts w:ascii="Times New Roman" w:hAnsi="Times New Roman"/>
          <w:sz w:val="20"/>
        </w:rPr>
        <w:t>44. Breiman L. Random forests. Mach Learn. 2001;45:5-32.</w:t>
      </w:r>
    </w:p>
    <w:p>
      <w:pPr>
        <w:spacing w:after="40"/>
      </w:pPr>
      <w:r>
        <w:rPr>
          <w:rFonts w:ascii="Times New Roman" w:hAnsi="Times New Roman"/>
          <w:sz w:val="20"/>
        </w:rPr>
        <w:t>45. Fraser CG, Harris EK. Biological variation. Crit Rev Clin Lab Sci. 1989;27:409-437.</w:t>
      </w:r>
    </w:p>
    <w:p>
      <w:pPr>
        <w:spacing w:after="40"/>
      </w:pPr>
      <w:r>
        <w:rPr>
          <w:rFonts w:ascii="Times New Roman" w:hAnsi="Times New Roman"/>
          <w:sz w:val="20"/>
        </w:rPr>
        <w:t>46. Ricos C et al. Biological variation databases. Scand J Clin Lab Invest. 1999;59:491-500.</w:t>
      </w:r>
    </w:p>
    <w:p>
      <w:pPr>
        <w:spacing w:after="40"/>
      </w:pPr>
      <w:r>
        <w:rPr>
          <w:rFonts w:ascii="Times New Roman" w:hAnsi="Times New Roman"/>
          <w:sz w:val="20"/>
        </w:rPr>
        <w:t>47. Efron B, Tibshirani RJ. An Introduction to the Bootstrap. CRC; 1994.</w:t>
      </w:r>
    </w:p>
    <w:p>
      <w:pPr>
        <w:spacing w:after="40"/>
      </w:pPr>
      <w:r>
        <w:rPr>
          <w:rFonts w:ascii="Times New Roman" w:hAnsi="Times New Roman"/>
          <w:sz w:val="20"/>
        </w:rPr>
        <w:t>48. World Medical Association. Declaration of Helsinki. JAMA. 2013;310:2191-2194.</w:t>
      </w:r>
    </w:p>
    <w:p>
      <w:pPr>
        <w:spacing w:after="40"/>
      </w:pPr>
      <w:r>
        <w:rPr>
          <w:rFonts w:ascii="Times New Roman" w:hAnsi="Times New Roman"/>
          <w:sz w:val="20"/>
        </w:rPr>
        <w:t>49. Kurman RJ et al. WHO Classification of Female Reproductive Tumours. IARC; 2014.</w:t>
      </w:r>
    </w:p>
    <w:p>
      <w:pPr>
        <w:spacing w:after="40"/>
      </w:pPr>
      <w:r>
        <w:rPr>
          <w:rFonts w:ascii="Times New Roman" w:hAnsi="Times New Roman"/>
          <w:sz w:val="20"/>
        </w:rPr>
        <w:t>50. Sterne JA et al. Multiple imputation. BMJ. 2009;338:b2393.</w:t>
      </w:r>
    </w:p>
    <w:p>
      <w:pPr>
        <w:spacing w:after="40"/>
      </w:pPr>
      <w:r>
        <w:rPr>
          <w:rFonts w:ascii="Times New Roman" w:hAnsi="Times New Roman"/>
          <w:sz w:val="20"/>
        </w:rPr>
        <w:t>51. Beretta L, Santaniello A. KNN imputation evaluation. BMC Med Inform Decis Mak. 2016;16(S3):74.</w:t>
      </w:r>
    </w:p>
    <w:p>
      <w:pPr>
        <w:spacing w:after="40"/>
      </w:pPr>
      <w:r>
        <w:rPr>
          <w:rFonts w:ascii="Times New Roman" w:hAnsi="Times New Roman"/>
          <w:sz w:val="20"/>
        </w:rPr>
        <w:t>52. Moons KG et al. TRIPOD explanation. Ann Intern Med. 2015;162:W1-73.</w:t>
      </w:r>
    </w:p>
    <w:p>
      <w:pPr>
        <w:spacing w:after="40"/>
      </w:pPr>
      <w:r>
        <w:rPr>
          <w:rFonts w:ascii="Times New Roman" w:hAnsi="Times New Roman"/>
          <w:sz w:val="20"/>
        </w:rPr>
        <w:t>53. Rubin DB. Multiple Imputation for Nonresponse. Wiley; 2004.</w:t>
      </w:r>
    </w:p>
    <w:p>
      <w:pPr>
        <w:spacing w:after="40"/>
      </w:pPr>
      <w:r>
        <w:rPr>
          <w:rFonts w:ascii="Times New Roman" w:hAnsi="Times New Roman"/>
          <w:sz w:val="20"/>
        </w:rPr>
        <w:t>54. Henderson KD et al. Menopause timing predictors. Am J Epidemiol. 2008;167:1287-1294.</w:t>
      </w:r>
    </w:p>
    <w:p>
      <w:pPr>
        <w:spacing w:after="40"/>
      </w:pPr>
      <w:r>
        <w:rPr>
          <w:rFonts w:ascii="Times New Roman" w:hAnsi="Times New Roman"/>
          <w:sz w:val="20"/>
        </w:rPr>
        <w:t>55. Cawley GC, Talbot NLC. Over-fitting in model selection. JMLR. 2010;11:2079-2107.</w:t>
      </w:r>
    </w:p>
    <w:p>
      <w:pPr>
        <w:spacing w:after="40"/>
      </w:pPr>
      <w:r>
        <w:rPr>
          <w:rFonts w:ascii="Times New Roman" w:hAnsi="Times New Roman"/>
          <w:sz w:val="20"/>
        </w:rPr>
        <w:t>56. Tibshirani R. Lasso regression. JRSSB. 1996;58:267-288.</w:t>
      </w:r>
    </w:p>
    <w:p>
      <w:pPr>
        <w:spacing w:after="40"/>
      </w:pPr>
      <w:r>
        <w:rPr>
          <w:rFonts w:ascii="Times New Roman" w:hAnsi="Times New Roman"/>
          <w:sz w:val="20"/>
        </w:rPr>
        <w:t>57. Moons KG et al. Risk prediction external validation. Heart. 2012;98:691-698.</w:t>
      </w:r>
    </w:p>
    <w:p>
      <w:pPr>
        <w:spacing w:after="40"/>
      </w:pPr>
      <w:r>
        <w:rPr>
          <w:rFonts w:ascii="Times New Roman" w:hAnsi="Times New Roman"/>
          <w:sz w:val="20"/>
        </w:rPr>
        <w:t>58. Pedregosa F et al. Scikit-learn. JMLR. 2011;12:2825-2830.</w:t>
      </w:r>
    </w:p>
    <w:p>
      <w:pPr>
        <w:spacing w:after="40"/>
      </w:pPr>
      <w:r>
        <w:rPr>
          <w:rFonts w:ascii="Times New Roman" w:hAnsi="Times New Roman"/>
          <w:sz w:val="20"/>
        </w:rPr>
        <w:t>59. Sturgeon CM et al. NACB tumor marker guidelines. Clin Chem. 2008;54:e11-79.</w:t>
      </w:r>
    </w:p>
    <w:p>
      <w:pPr>
        <w:spacing w:after="40"/>
      </w:pPr>
      <w:r>
        <w:rPr>
          <w:rFonts w:ascii="Times New Roman" w:hAnsi="Times New Roman"/>
          <w:sz w:val="20"/>
        </w:rPr>
        <w:t>60. Sendak MP et al. ML translation into healthcare. EMJ Innov. 2020;10:19-00172.</w:t>
      </w:r>
    </w:p>
    <w:p>
      <w:pPr>
        <w:spacing w:after="40"/>
      </w:pPr>
      <w:r>
        <w:rPr>
          <w:rFonts w:ascii="Times New Roman" w:hAnsi="Times New Roman"/>
          <w:sz w:val="20"/>
        </w:rPr>
        <w:t>61. Wiens J et al. Responsible ML for health care. Nat Med. 2019;25:1337-1340.</w:t>
      </w:r>
    </w:p>
    <w:p>
      <w:pPr>
        <w:spacing w:after="40"/>
      </w:pPr>
      <w:r>
        <w:rPr>
          <w:rFonts w:ascii="Times New Roman" w:hAnsi="Times New Roman"/>
          <w:sz w:val="20"/>
        </w:rPr>
        <w:t>62. Engelen MJ et al. Surgery by gynecologic oncologists improves survival. Cancer. 2006;106:589-598.</w:t>
      </w:r>
    </w:p>
    <w:p>
      <w:pPr>
        <w:spacing w:after="40"/>
      </w:pPr>
      <w:r>
        <w:rPr>
          <w:rFonts w:ascii="Times New Roman" w:hAnsi="Times New Roman"/>
          <w:sz w:val="20"/>
        </w:rPr>
        <w:t>63. Peduzzi P et al. Events per variable in logistic regression. J Clin Epidemiol. 1996;49:1373-1379.</w:t>
      </w:r>
    </w:p>
    <w:p>
      <w:pPr>
        <w:spacing w:after="40"/>
      </w:pPr>
      <w:r>
        <w:rPr>
          <w:rFonts w:ascii="Times New Roman" w:hAnsi="Times New Roman"/>
          <w:sz w:val="20"/>
        </w:rPr>
        <w:t>64. [Dataset 1] Chinese Ovarian Cancer Dataset. Mendeley Data. DOI: 10.17632/th7fztbrv9.11.</w:t>
      </w:r>
    </w:p>
    <w:p>
      <w:pPr>
        <w:spacing w:after="40"/>
      </w:pPr>
      <w:r>
        <w:rPr>
          <w:rFonts w:ascii="Times New Roman" w:hAnsi="Times New Roman"/>
          <w:sz w:val="20"/>
        </w:rPr>
        <w:t>65. [Dataset 2] Ovarian cancer vs. ovarian cyst patients. figshare. DOI: 10.6084/m9.figshare.28831256.</w:t>
      </w:r>
    </w:p>
    <w:p>
      <w:pPr>
        <w:spacing w:after="40"/>
      </w:pPr>
      <w:r>
        <w:rPr>
          <w:rFonts w:ascii="Times New Roman" w:hAnsi="Times New Roman"/>
          <w:sz w:val="20"/>
        </w:rPr>
        <w:t>66. [Dataset 3] Revised HE4 Cut-Off Value — Supplementary Material. Karger figshare. DOI: 10.6084/m9.figshare.24235450.</w:t>
      </w:r>
    </w:p>
    <w:p>
      <w:pPr>
        <w:pStyle w:val="Heading1"/>
        <w:jc w:val="left"/>
      </w:pPr>
      <w:r>
        <w:rPr>
          <w:rFonts w:ascii="Times New Roman" w:hAnsi="Times New Roman" w:eastAsia="Times New Roman"/>
          <w:sz w:val="28"/>
        </w:rPr>
        <w:t>Declarations</w:t>
      </w:r>
    </w:p>
    <w:p>
      <w:pPr>
        <w:pStyle w:val="Heading2"/>
        <w:jc w:val="left"/>
      </w:pPr>
      <w:r>
        <w:rPr>
          <w:rFonts w:ascii="Times New Roman" w:hAnsi="Times New Roman" w:eastAsia="Times New Roman"/>
          <w:sz w:val="26"/>
        </w:rPr>
        <w:t>Ethics approval</w:t>
      </w:r>
    </w:p>
    <w:p>
      <w:pPr>
        <w:spacing w:after="120"/>
      </w:pPr>
      <w:r>
        <w:rPr>
          <w:rFonts w:ascii="Times New Roman" w:hAnsi="Times New Roman" w:eastAsia="Times New Roman"/>
          <w:sz w:val="24"/>
        </w:rPr>
        <w:t>Secondary analysis of publicly available de-identified datasets originally collected with institutional ethics approval. Exempt from additional review per institutional policy.</w:t>
      </w:r>
    </w:p>
    <w:p>
      <w:pPr>
        <w:pStyle w:val="Heading2"/>
        <w:jc w:val="left"/>
      </w:pPr>
      <w:r>
        <w:rPr>
          <w:rFonts w:ascii="Times New Roman" w:hAnsi="Times New Roman" w:eastAsia="Times New Roman"/>
          <w:sz w:val="26"/>
        </w:rPr>
        <w:t>Consent for publication</w:t>
      </w:r>
    </w:p>
    <w:p>
      <w:pPr>
        <w:spacing w:after="120"/>
      </w:pPr>
      <w:r>
        <w:rPr>
          <w:rFonts w:ascii="Times New Roman" w:hAnsi="Times New Roman" w:eastAsia="Times New Roman"/>
          <w:sz w:val="24"/>
        </w:rPr>
        <w:t>Not applicable.</w:t>
      </w:r>
    </w:p>
    <w:p>
      <w:pPr>
        <w:pStyle w:val="Heading2"/>
        <w:jc w:val="left"/>
      </w:pPr>
      <w:r>
        <w:rPr>
          <w:rFonts w:ascii="Times New Roman" w:hAnsi="Times New Roman" w:eastAsia="Times New Roman"/>
          <w:sz w:val="26"/>
        </w:rPr>
        <w:t>Data availability</w:t>
      </w:r>
    </w:p>
    <w:p>
      <w:pPr>
        <w:spacing w:after="120"/>
      </w:pPr>
      <w:r>
        <w:rPr>
          <w:rFonts w:ascii="Times New Roman" w:hAnsi="Times New Roman" w:eastAsia="Times New Roman"/>
          <w:sz w:val="24"/>
        </w:rPr>
        <w:t>All three datasets publicly available: Mendeley Data (DOI: 10.17632/th7fztbrv9.11), figshare (DOI: 10.6084/m9.figshare.28831256), Karger figshare (DOI: 10.6084/m9.figshare.24235450). Analysis pipeline and code: https://github.com/angelayaoo/Ovarian-Cancer-RiskSLIM.</w:t>
      </w:r>
    </w:p>
    <w:p>
      <w:pPr>
        <w:pStyle w:val="Heading2"/>
        <w:jc w:val="left"/>
      </w:pPr>
      <w:r>
        <w:rPr>
          <w:rFonts w:ascii="Times New Roman" w:hAnsi="Times New Roman" w:eastAsia="Times New Roman"/>
          <w:sz w:val="26"/>
        </w:rPr>
        <w:t>Competing interests</w:t>
      </w:r>
    </w:p>
    <w:p>
      <w:pPr>
        <w:spacing w:after="120"/>
      </w:pPr>
      <w:r>
        <w:rPr>
          <w:rFonts w:ascii="Times New Roman" w:hAnsi="Times New Roman" w:eastAsia="Times New Roman"/>
          <w:sz w:val="24"/>
        </w:rPr>
        <w:t>None declared.</w:t>
      </w:r>
    </w:p>
    <w:p>
      <w:pPr>
        <w:pStyle w:val="Heading2"/>
        <w:jc w:val="left"/>
      </w:pPr>
      <w:r>
        <w:rPr>
          <w:rFonts w:ascii="Times New Roman" w:hAnsi="Times New Roman" w:eastAsia="Times New Roman"/>
          <w:sz w:val="26"/>
        </w:rPr>
        <w:t>Funding</w:t>
      </w:r>
    </w:p>
    <w:p>
      <w:pPr>
        <w:spacing w:after="120"/>
      </w:pPr>
      <w:r>
        <w:rPr>
          <w:rFonts w:ascii="Times New Roman" w:hAnsi="Times New Roman" w:eastAsia="Times New Roman"/>
          <w:sz w:val="24"/>
        </w:rPr>
        <w:t>[To be completed]</w:t>
      </w:r>
    </w:p>
    <w:p>
      <w:pPr>
        <w:pStyle w:val="Heading2"/>
        <w:jc w:val="left"/>
      </w:pPr>
      <w:r>
        <w:rPr>
          <w:rFonts w:ascii="Times New Roman" w:hAnsi="Times New Roman" w:eastAsia="Times New Roman"/>
          <w:sz w:val="26"/>
        </w:rPr>
        <w:t>Authors' contributions</w:t>
      </w:r>
    </w:p>
    <w:p>
      <w:pPr>
        <w:spacing w:after="120"/>
      </w:pPr>
      <w:r>
        <w:rPr>
          <w:rFonts w:ascii="Times New Roman" w:hAnsi="Times New Roman" w:eastAsia="Times New Roman"/>
          <w:sz w:val="24"/>
        </w:rPr>
        <w:t>[To be completed]</w:t>
      </w:r>
    </w:p>
    <w:p>
      <w:pPr>
        <w:pStyle w:val="Heading2"/>
        <w:jc w:val="left"/>
      </w:pPr>
      <w:r>
        <w:rPr>
          <w:rFonts w:ascii="Times New Roman" w:hAnsi="Times New Roman" w:eastAsia="Times New Roman"/>
          <w:sz w:val="26"/>
        </w:rPr>
        <w:t>Acknowledgements</w:t>
      </w:r>
    </w:p>
    <w:p>
      <w:pPr>
        <w:spacing w:after="120"/>
      </w:pPr>
      <w:r>
        <w:rPr>
          <w:rFonts w:ascii="Times New Roman" w:hAnsi="Times New Roman" w:eastAsia="Times New Roman"/>
          <w:sz w:val="24"/>
        </w:rPr>
        <w:t>We thank the original investigators who publicly shared the three datasets.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