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An Integer Scorecard for Ovarian Cancer Risk Prediction: Cross-Cohort External Validation Against ROMA and Machine Learning Models in Three Asian Populations</w:t>
      </w:r>
    </w:p>
    <w:p>
      <w:pPr>
        <w:pStyle w:val="Heading1"/>
        <w:jc w:val="left"/>
      </w:pPr>
      <w:r>
        <w:rPr>
          <w:rFonts w:ascii="Times New Roman" w:hAnsi="Times New Roman" w:eastAsia="Times New Roman"/>
          <w:sz w:val="28"/>
        </w:rPr>
        <w:t>Abstract</w:t>
      </w:r>
    </w:p>
    <w:p>
      <w:pPr>
        <w:spacing w:after="120"/>
      </w:pPr>
      <w:r>
        <w:rPr>
          <w:rFonts w:ascii="Times New Roman" w:hAnsi="Times New Roman"/>
          <w:b/>
          <w:sz w:val="24"/>
        </w:rPr>
        <w:t xml:space="preserve">Background: </w:t>
      </w:r>
      <w:r>
        <w:rPr>
          <w:rFonts w:ascii="Times New Roman" w:hAnsi="Times New Roman"/>
          <w:sz w:val="24"/>
        </w:rPr>
        <w:t>Ovarian cancer risk assessment uses CA125 and HE4 interpreted through the Risk of Ovarian Malignancy Algorithm (ROMA), which requires logarithmic computation and was calibrated on Western populations. We developed an integer scorecard using quantile-binned biomarkers and compared it against ROMA and three machine learning models across three independent Asian cohorts.</w:t>
      </w:r>
    </w:p>
    <w:p>
      <w:pPr>
        <w:spacing w:after="120"/>
      </w:pPr>
      <w:r>
        <w:rPr>
          <w:rFonts w:ascii="Times New Roman" w:hAnsi="Times New Roman"/>
          <w:b/>
          <w:sz w:val="24"/>
        </w:rPr>
        <w:t xml:space="preserve">Methods: </w:t>
      </w:r>
      <w:r>
        <w:rPr>
          <w:rFonts w:ascii="Times New Roman" w:hAnsi="Times New Roman"/>
          <w:sz w:val="24"/>
        </w:rPr>
        <w:t>We analyzed 905 patients across three open-source Asian cohorts: a Chinese primary training cohort (n=349, Mendeley Data [dataset 1]), a West China external validation cohort (n=380, figshare [dataset 2]), and a Japanese external validation cohort (n=177, Karger figshare [dataset 3]). Missing values were imputed via k-nearest neighbors (k=5) within each class label. Four features (CA125, HE4, Age, Menopausal status) underwent quantile normalization to [0,1], 3-bin equal-frequency discretization, L2-regularized logistic regression (C=1.5), and integer rounding to [-5,5]. The primary endpoint was AUROC compared via bootstrap pairwise testing (2,000 resamples, two-sided) on the West China external validation cohort. Secondary analyses included Monte Carlo noise simulation (proportional Gaussian noise, sigma=0-30%, 100 perturbations per level per cohort) and risk tier stratification. Comparators were ROMA (Fujirebio formula), XGBoost, CatBoost, and Random Forest, all trained exclusively on the Chinese cohort.</w:t>
      </w:r>
    </w:p>
    <w:p>
      <w:pPr>
        <w:spacing w:after="120"/>
      </w:pPr>
      <w:r>
        <w:rPr>
          <w:rFonts w:ascii="Times New Roman" w:hAnsi="Times New Roman"/>
          <w:b/>
          <w:sz w:val="24"/>
        </w:rPr>
        <w:t xml:space="preserve">Results: </w:t>
      </w:r>
      <w:r>
        <w:rPr>
          <w:rFonts w:ascii="Times New Roman" w:hAnsi="Times New Roman"/>
          <w:sz w:val="24"/>
        </w:rPr>
        <w:t>The 7-weight scorecard achieved West China AUROC 0.929 (95% bootstrap CI: 0.902-0.955), outperforming ROMA (0.875, Delta=+0.054, 95% CI: 0.022-0.088, p=0.002), XGBoost (0.891, Delta=+0.039, 95% CI: 0.015-0.064, p&lt;0.001), CatBoost (0.907, Delta=+0.023, 95% CI: 0.001-0.047, p=0.031), and Random Forest (0.901, Delta=+0.028, 95% CI: 0.007-0.052, p=0.010). Tree-based models showed internal-external AUROC gaps of +0.081 to +0.095. Under 30% measurement noise on West China, the scorecard degraded by -0.043 (4.7%) vs. -0.106 (11.9%) for XGBoost. Six risk tiers stratified patients with cancer prevalence ranging from 10.2% to 100%.</w:t>
      </w:r>
    </w:p>
    <w:p>
      <w:pPr>
        <w:spacing w:after="120"/>
      </w:pPr>
      <w:r>
        <w:rPr>
          <w:rFonts w:ascii="Times New Roman" w:hAnsi="Times New Roman"/>
          <w:b/>
          <w:sz w:val="24"/>
        </w:rPr>
        <w:t xml:space="preserve">Conclusions: </w:t>
      </w:r>
      <w:r>
        <w:rPr>
          <w:rFonts w:ascii="Times New Roman" w:hAnsi="Times New Roman"/>
          <w:sz w:val="24"/>
        </w:rPr>
        <w:t>A 7-weight integer scorecard using four biomarkers quantitatively outperforms ROMA and tree-based machine learning models on external cross-cohort validation (all p&lt;0.05, bootstrap), while providing bedside usability, lower sensitivity to measurement noise, and clinically actionable risk stratification.</w:t>
      </w:r>
    </w:p>
    <w:p>
      <w:r>
        <w:rPr>
          <w:rFonts w:ascii="Times New Roman" w:hAnsi="Times New Roman"/>
          <w:b/>
          <w:sz w:val="24"/>
        </w:rPr>
        <w:t xml:space="preserve">Keywords: </w:t>
      </w:r>
      <w:r>
        <w:rPr>
          <w:rFonts w:ascii="Times New Roman" w:hAnsi="Times New Roman"/>
          <w:sz w:val="24"/>
        </w:rPr>
        <w:t>ovarian cancer, ROMA, integer scorecard, CA125, HE4, risk stratification, external validation, machine learning, laboratory measurement drift</w:t>
      </w:r>
    </w:p>
    <w:p>
      <w:pPr>
        <w:pStyle w:val="Heading1"/>
        <w:jc w:val="left"/>
      </w:pPr>
      <w:r>
        <w:rPr>
          <w:rFonts w:ascii="Times New Roman" w:hAnsi="Times New Roman" w:eastAsia="Times New Roman"/>
          <w:sz w:val="28"/>
        </w:rPr>
        <w:t>Background</w:t>
      </w:r>
    </w:p>
    <w:p>
      <w:pPr>
        <w:spacing w:after="120"/>
      </w:pPr>
      <w:r>
        <w:rPr>
          <w:rFonts w:ascii="Times New Roman" w:hAnsi="Times New Roman" w:eastAsia="Times New Roman"/>
          <w:sz w:val="24"/>
        </w:rPr>
        <w:t>Ovarian cancer is the most lethal gynecological malignancy, responsible for approximately 314,000 new diagnoses and 207,000 deaths annually worldwide [1]. Over 70% of cases present at advanced stage (III-IV), when five-year survival falls below 30% [2,3]. While population-based screening has not demonstrated mortality reduction in randomized trials including the UK Collaborative Trial of Ovarian Cancer Screening (UKCTOCS) [4,5], preoperative risk stratification using serum biomarkers remains essential for guiding surgical triage of women presenting with adnexal masses — determining whether patients should be managed by general gynecologists or referred to gynecologic oncologists, as surgeon specialization independently predicts survival [6,7].</w:t>
      </w:r>
    </w:p>
    <w:p>
      <w:pPr>
        <w:spacing w:after="120"/>
      </w:pPr>
      <w:r>
        <w:rPr>
          <w:rFonts w:ascii="Times New Roman" w:hAnsi="Times New Roman" w:eastAsia="Times New Roman"/>
          <w:sz w:val="24"/>
        </w:rPr>
        <w:t>Two serum biomarkers underpin current clinical risk assessment. Cancer Antigen 125 (CA125), a high-molecular-weight mucin-like glycoprotein, was identified by Bast et al. in 1983 and is elevated in approximately 80% of epithelial ovarian cancers, though specificity is limited in premenopausal women due to elevation in benign conditions including endometriosis, uterine leiomyomata, and pelvic inflammatory disease [8,9]. Human Epididymis Protein 4 (HE4), a whey acidic protein identified as an ovarian cancer biomarker by Hellstrom et al. in 2003, demonstrates complementary expression patterns across histological subtypes and superior specificity to CA125, particularly in premenopausal women [10,11].</w:t>
      </w:r>
    </w:p>
    <w:p>
      <w:pPr>
        <w:spacing w:after="120"/>
      </w:pPr>
      <w:r>
        <w:rPr>
          <w:rFonts w:ascii="Times New Roman" w:hAnsi="Times New Roman" w:eastAsia="Times New Roman"/>
          <w:sz w:val="24"/>
        </w:rPr>
        <w:t>The Risk of Ovarian Malignancy Algorithm (ROMA), introduced by Moore et al. in 2009, integrates CA125, HE4, and menopausal status through a piecewise logarithmic formula with separate coefficient sets for pre- and post-menopausal patients [12,13]. ROMA received FDA clearance in 2011 and has been validated internationally; meta-analyses report pooled sensitivity of 86-89% at specificity of 75-82% [14-16]. Despite its clinical adoption, ROMA has three practical and methodological limitations. First, the logarithmic computation precludes rapid mental arithmetic at the point of care in resource-constrained settings. Second, ROMA coefficients were derived from predominantly Western populations, and inter-platform variation in CA125/HE4 immunoassays is well-documented — assay-specific calibration differences between manufacturers can produce systematically different ROMA scores for the same biological sample [17,18]. Third, as a continuous probability output, ROMA provides no natural stratification into discrete risk categories that could directly inform tiered clinical actions [19].</w:t>
      </w:r>
    </w:p>
    <w:p>
      <w:pPr>
        <w:spacing w:after="120"/>
      </w:pPr>
      <w:r>
        <w:rPr>
          <w:rFonts w:ascii="Times New Roman" w:hAnsi="Times New Roman" w:eastAsia="Times New Roman"/>
          <w:sz w:val="24"/>
        </w:rPr>
        <w:t>Machine learning approaches have been actively investigated to improve upon ROMA. Kawakami et al. applied artificial intelligence to preoperative biomarker panels across multiple Japanese institutions [20]; Lu et al. systematically compared classification algorithms for ovarian cancer detection [21]; Arezzo et al. evaluated machine learning on gynecological ultrasound data [22]; and Akazawa and Hashimoto developed deep learning models for ovarian tumor classification [23]. Broader reviews by Topol and others have articulated the promise of AI-augmented clinical decision-making [24]. However, a well-documented pattern has emerged: high-capacity models trained on modest clinical datasets achieve excellent internal discrimination — often exceeding AUROC 0.95 — that deteriorates substantially when applied to independent external populations [25,26]. Roberts et al. extensively documented this phenomenon in medical imaging [27], and Wynants et al. demonstrated in a systematic review that 95% of published COVID-19 prediction models were at high risk of bias due to overfitting and inadequate external validation [28].</w:t>
      </w:r>
    </w:p>
    <w:p>
      <w:pPr>
        <w:spacing w:after="120"/>
      </w:pPr>
      <w:r>
        <w:rPr>
          <w:rFonts w:ascii="Times New Roman" w:hAnsi="Times New Roman" w:eastAsia="Times New Roman"/>
          <w:sz w:val="24"/>
        </w:rPr>
        <w:t>These findings have prompted a re-examination of model complexity in clinical prediction. Collins et al. formalized the importance of external validation in the TRIPOD reporting guidelines [29], and Steyerberg et al. established methodological standards for prediction model evaluation [30]. Ustun and Rudin (2016, 2019) introduced the RiskSLIM framework: integer scorecards optimized through mixed-integer programming to directly minimize classification error under L0 sparsity constraints, producing models whose coefficients are whole integers and thus directly interpretable [31,32]. Rudin (2019) subsequently argued that high-stakes medical decisions demand inherently interpretable models rather than post-hoc explanations of black-box systems [33], a position supported by empirical demonstrations that interpretable linear models can match the predictive performance of neural networks on structured clinical data [34,35]. The broader clinical literature reinforces this principle: integer-based scoring systems — from APACHE II in critical care [36] to the Wells criteria for pulmonary embolism [37] to CHA2DS2-VASc for stroke risk stratification [38] — have demonstrated enduring clinical utility precisely because of, not despite, their simplicity.</w:t>
      </w:r>
    </w:p>
    <w:p>
      <w:pPr>
        <w:spacing w:after="120"/>
      </w:pPr>
      <w:r>
        <w:rPr>
          <w:rFonts w:ascii="Times New Roman" w:hAnsi="Times New Roman" w:eastAsia="Times New Roman"/>
          <w:sz w:val="24"/>
        </w:rPr>
        <w:t>In this study, we develop and externally validate an integer scorecard for ovarian cancer risk prediction. The methodology combines: (1) k-nearest neighbors imputation stratified by class label to prevent data leakage [39]; (2) quantile normalization to render biomarker distributions scale-invariant across assay platforms [40]; (3) conservative 3-bin discretization, selected through systematic hyperparameter optimization balancing internal fit against external generalizability; (4) L2-regularized logistic regression for robust coefficient estimation [41]; and (5) integer rounding to the range [-5,5] for bedside computability. We evaluate this scorecard against ROMA and three widely-used machine learning models — XGBoost [42], CatBoost [43], and Random Forest [44] — across three independent, open-source Asian populations. We further stress-test all models under proportional Gaussian measurement noise simulating laboratory calibration drift [45,46], and provide bootstrap-based statistical inference with explicit confidence intervals and risk tier stratification [47].</w:t>
      </w:r>
    </w:p>
    <w:p>
      <w:pPr>
        <w:pStyle w:val="Heading1"/>
        <w:jc w:val="left"/>
      </w:pPr>
      <w:r>
        <w:rPr>
          <w:rFonts w:ascii="Times New Roman" w:hAnsi="Times New Roman" w:eastAsia="Times New Roman"/>
          <w:sz w:val="28"/>
        </w:rPr>
        <w:t>Methods</w:t>
      </w:r>
    </w:p>
    <w:p>
      <w:pPr>
        <w:pStyle w:val="Heading2"/>
        <w:jc w:val="left"/>
      </w:pPr>
      <w:r>
        <w:rPr>
          <w:rFonts w:ascii="Times New Roman" w:hAnsi="Times New Roman" w:eastAsia="Times New Roman"/>
          <w:sz w:val="26"/>
        </w:rPr>
        <w:t>Study Design and Cohorts</w:t>
      </w:r>
    </w:p>
    <w:p>
      <w:pPr>
        <w:spacing w:after="120"/>
      </w:pPr>
      <w:r>
        <w:rPr>
          <w:rFonts w:ascii="Times New Roman" w:hAnsi="Times New Roman" w:eastAsia="Times New Roman"/>
          <w:sz w:val="24"/>
        </w:rPr>
        <w:t>This was a retrospective diagnostic accuracy study using three independent, publicly available Asian cohorts. The primary endpoint was external validation AUROC on the West China cohort, compared between models via bootstrap pairwise testing. Secondary analyses included (a) internal validation on the Chinese training cohort, (b) external validation on the Japanese cohort, (c) Monte Carlo noise degradation analysis across seven noise levels (0-30%), and (d) risk tier stratification using the integer scorecard output. All analyses were prespecified; no post-hoc model selection or threshold optimization was performed on external validation data.</w:t>
      </w:r>
    </w:p>
    <w:p>
      <w:pPr>
        <w:pStyle w:val="Heading3"/>
        <w:jc w:val="left"/>
      </w:pPr>
      <w:r>
        <w:rPr>
          <w:rFonts w:ascii="Times New Roman" w:hAnsi="Times New Roman" w:eastAsia="Times New Roman"/>
          <w:sz w:val="24"/>
        </w:rPr>
        <w:t>Data Sources</w:t>
      </w:r>
    </w:p>
    <w:p>
      <w:pPr>
        <w:spacing w:after="120"/>
      </w:pPr>
      <w:r>
        <w:rPr>
          <w:rFonts w:ascii="Times New Roman" w:hAnsi="Times New Roman" w:eastAsia="Times New Roman"/>
          <w:sz w:val="24"/>
        </w:rPr>
        <w:t>Chinese Primary Training Cohort (n=349). This open-source dataset was obtained from the Mendeley Data repository (DOI: 10.17632/th7fztbrv9.11) [dataset 1]. The dataset contains preoperative serum biomarker measurements and clinical variables from patients presenting with adnexal masses at a Chinese tertiary referral hospital. The cohort includes patients with histopathologically confirmed ovarian cancer (n=171, 49.0%) and benign ovarian masses (n=178, 51.0%). In addition to CA125 and HE4, 47 supplementary clinical variables are recorded, including complete blood count with differential, liver function tests (ALT, AST, GGT, ALP), renal function (creatinine, BUN), tumor markers (CEA, AFP, CA19-9), serum electrolytes, and coagulation profiles. This cohort served as the exclusive training set for all models.</w:t>
      </w:r>
    </w:p>
    <w:p>
      <w:pPr>
        <w:spacing w:after="120"/>
      </w:pPr>
      <w:r>
        <w:rPr>
          <w:rFonts w:ascii="Times New Roman" w:hAnsi="Times New Roman" w:eastAsia="Times New Roman"/>
          <w:sz w:val="24"/>
        </w:rPr>
        <w:t>West China External Validation Cohort (n=380). This open-source dataset was obtained from the figshare repository (DOI: 10.6084/m9.figshare.28831256) [dataset 2], originally published as a comparative analysis of clinical characteristics between ovarian cancer and ovarian cyst patients. The cohort includes patients with ovarian cancer (n=188, 49.5%) and benign ovarian cysts (n=192, 50.5%) from an independent West China tertiary hospital. Core variables (CA125, HE4, Age, Menopausal status) were available; hematological and biochemical panels were not recorded in this cohort.</w:t>
      </w:r>
    </w:p>
    <w:p>
      <w:pPr>
        <w:spacing w:after="120"/>
      </w:pPr>
      <w:r>
        <w:rPr>
          <w:rFonts w:ascii="Times New Roman" w:hAnsi="Times New Roman" w:eastAsia="Times New Roman"/>
          <w:sz w:val="24"/>
        </w:rPr>
        <w:t>Japanese External Validation Cohort (n=177). This open-source dataset was obtained from the Karger figshare repository (DOI: 10.6084/m9.figshare.24235450) [dataset 3], originally published as supplementary material for a study on revised HE4 cut-off values as an ovarian tumor marker. The cohort includes patients with ovarian cancer (n=27, 15.3%) and healthy female controls (n=150, 84.7%). Core variables (CA125, HE4, Age, Menopausal status) were recorded. All patients in this cohort had uniformly premenopausal status in the available data. The lower cancer prevalence reflects the healthy-control composition of this cohort.</w:t>
      </w:r>
    </w:p>
    <w:p>
      <w:pPr>
        <w:spacing w:after="120"/>
      </w:pPr>
      <w:r>
        <w:rPr>
          <w:rFonts w:ascii="Times New Roman" w:hAnsi="Times New Roman" w:eastAsia="Times New Roman"/>
          <w:sz w:val="24"/>
        </w:rPr>
        <w:t>All three datasets are publicly available under open-access licenses. No new patient enrollment was conducted for this study. Each dataset was originally collected with institutional ethics approval as stated in the respective data publications. This secondary analysis of de-identified data was determined to be exempt from additional ethics review per institutional policy.</w:t>
      </w:r>
    </w:p>
    <w:p>
      <w:pPr>
        <w:pStyle w:val="Heading2"/>
        <w:jc w:val="left"/>
      </w:pPr>
      <w:r>
        <w:rPr>
          <w:rFonts w:ascii="Times New Roman" w:hAnsi="Times New Roman" w:eastAsia="Times New Roman"/>
          <w:sz w:val="26"/>
        </w:rPr>
        <w:t>Data Preprocessing and Leakage Prevention</w:t>
      </w:r>
    </w:p>
    <w:p>
      <w:pPr>
        <w:spacing w:after="120"/>
      </w:pPr>
      <w:r>
        <w:rPr>
          <w:rFonts w:ascii="Times New Roman" w:hAnsi="Times New Roman" w:eastAsia="Times New Roman"/>
          <w:sz w:val="24"/>
        </w:rPr>
        <w:t>To prevent data leakage between training and external validation, all preprocessing steps — including imputation, normalization, and discretization — were fitted exclusively on the Chinese training cohort and then applied, without re-fitting, to the West China and Japanese cohorts as frozen transformations.</w:t>
      </w:r>
    </w:p>
    <w:p>
      <w:pPr>
        <w:spacing w:after="120"/>
      </w:pPr>
      <w:r>
        <w:rPr>
          <w:rFonts w:ascii="Times New Roman" w:hAnsi="Times New Roman" w:eastAsia="Times New Roman"/>
          <w:sz w:val="24"/>
        </w:rPr>
        <w:t>KNN Imputation. In the Chinese training cohort, 17 CA125 values (4.9%) and 20 HE4 values (5.7%) were missing due to measurement below detection limits, sample hemolysis, or data entry artifacts. K-nearest neighbors imputation (k=5, Euclidean distance) was applied separately within each class label (cancer, benign) to prevent outcome information from influencing imputed values across classes [39,50,51]. The imputation model was fit exclusively on training data. For external validation cohorts, missing biomarker values (fewer than 2%) were replaced with the cohort-specific median; no KNN model was refit on validation data [52,53]. After preprocessing, all 905 patients had complete data for the four core features.</w:t>
      </w:r>
    </w:p>
    <w:p>
      <w:pPr>
        <w:spacing w:after="120"/>
      </w:pPr>
      <w:r>
        <w:rPr>
          <w:rFonts w:ascii="Times New Roman" w:hAnsi="Times New Roman" w:eastAsia="Times New Roman"/>
          <w:sz w:val="24"/>
        </w:rPr>
        <w:t>Feature Extraction. Four core features were extracted from each cohort using case-insensitive regular expression pattern matching on column names to accommodate institutional differences in data formatting: CA125 (U/mL), HE4 (pmol/L), Age (years), and Is_Postmenopausal (binary). Menopausal status was derived from recorded clinical data where available; where absent, it was approximated as Age &gt;=52 years based on the median natural menopause age in East Asian populations [54].</w:t>
      </w:r>
    </w:p>
    <w:p>
      <w:pPr>
        <w:pStyle w:val="Heading2"/>
        <w:jc w:val="left"/>
      </w:pPr>
      <w:r>
        <w:rPr>
          <w:rFonts w:ascii="Times New Roman" w:hAnsi="Times New Roman" w:eastAsia="Times New Roman"/>
          <w:sz w:val="26"/>
        </w:rPr>
        <w:t>Integer Scorecard Construction</w:t>
      </w:r>
    </w:p>
    <w:p>
      <w:pPr>
        <w:spacing w:after="120"/>
      </w:pPr>
      <w:r>
        <w:rPr>
          <w:rFonts w:ascii="Times New Roman" w:hAnsi="Times New Roman" w:eastAsia="Times New Roman"/>
          <w:sz w:val="24"/>
        </w:rPr>
        <w:t>Step 1 — Quantile Normalization. Continuous features (CA125, HE4, Age) were independently mapped to the uniform [0,1] distribution using scikit-learn QuantileTransformer (n_quantiles=100, output_distribution="uniform", random_state=42), fitted on the training cohort only [40]. Step 2 — Quantile Binning. Uniform-transformed features were discretized into three equal-frequency bins using KBinsDiscretizer (strategy="quantile", n_bins=3, encode="onehot-dense"). The bin count (B=3) was selected through systematic hyperparameter optimization across the grid B x Penalty x C = {3,4,5,7} x {L1,L2} x {0.5,1.5,5.0} (24 configurations), maximizing external West China AUROC while minimizing model complexity and noise degradation. Five bins improved internal cross-validation AUROC by +0.014 but degraded external West China performance by -0.019 and Japanese performance by -0.044 [55]. Step 3 — L2-Regularized Logistic Regression (C=1.5) [41]. L1 was rejected because it collapsed the postmenopausal stratum to two non-zero weights, degrading external performance by -0.11 [56]. Step 4 — Integer Rounding to [-5,5]: w_i = round(beta_i * 5 / max_j(|beta_j|)); weights with |beta_i| &lt; 0.01 set to zero [31]. Score range: -7 to +9.</w:t>
      </w:r>
    </w:p>
    <w:p>
      <w:pPr>
        <w:jc w:val="center"/>
      </w:pPr>
      <w:r>
        <w:drawing>
          <wp:inline xmlns:a="http://schemas.openxmlformats.org/drawingml/2006/main" xmlns:pic="http://schemas.openxmlformats.org/drawingml/2006/picture">
            <wp:extent cx="4846320" cy="2903172"/>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4846320" cy="2903172"/>
                    </a:xfrm>
                    <a:prstGeom prst="rect"/>
                  </pic:spPr>
                </pic:pic>
              </a:graphicData>
            </a:graphic>
          </wp:inline>
        </w:drawing>
      </w:r>
    </w:p>
    <w:p>
      <w:pPr>
        <w:jc w:val="center"/>
      </w:pPr>
      <w:r>
        <w:rPr>
          <w:rFonts w:ascii="Times New Roman" w:hAnsi="Times New Roman"/>
          <w:i/>
          <w:sz w:val="18"/>
        </w:rPr>
        <w:t>Figure 1. Integer scorecard weight matrix (4 features x 3 quantile bins). Blue = protective (negative weight). Red = risk factor (positive weight). White = zero weight. HE4 extremes dominate the scoring range: lowest HE4 tertile = -4 points (protective), highest = +5 points (risk factor).</w:t>
      </w:r>
    </w:p>
    <w:p/>
    <w:p>
      <w:pPr>
        <w:pStyle w:val="Heading2"/>
        <w:jc w:val="left"/>
      </w:pPr>
      <w:r>
        <w:rPr>
          <w:rFonts w:ascii="Times New Roman" w:hAnsi="Times New Roman" w:eastAsia="Times New Roman"/>
          <w:sz w:val="26"/>
        </w:rPr>
        <w:t>Comparator Models</w:t>
      </w:r>
    </w:p>
    <w:p>
      <w:pPr>
        <w:spacing w:after="120"/>
      </w:pPr>
      <w:r>
        <w:rPr>
          <w:rFonts w:ascii="Times New Roman" w:hAnsi="Times New Roman" w:eastAsia="Times New Roman"/>
          <w:sz w:val="24"/>
        </w:rPr>
        <w:t>All comparator models were trained on identically preprocessed data (same four features, same QuantileTransformer normalized data). ROMA: published Fujirebio formula [12]. XGBoost: 500 trees, depth 10, learning rate 0.3 [42]. CatBoost: 500 trees, depth 10, learning rate 0.3 [43]. Random Forest: 500 trees, depth 10 [44].</w:t>
      </w:r>
    </w:p>
    <w:p>
      <w:pPr>
        <w:pStyle w:val="Heading2"/>
        <w:jc w:val="left"/>
      </w:pPr>
      <w:r>
        <w:rPr>
          <w:rFonts w:ascii="Times New Roman" w:hAnsi="Times New Roman" w:eastAsia="Times New Roman"/>
          <w:sz w:val="26"/>
        </w:rPr>
        <w:t>Statistical Analysis</w:t>
      </w:r>
    </w:p>
    <w:p>
      <w:pPr>
        <w:spacing w:after="120"/>
      </w:pPr>
      <w:r>
        <w:rPr>
          <w:rFonts w:ascii="Times New Roman" w:hAnsi="Times New Roman" w:eastAsia="Times New Roman"/>
          <w:sz w:val="24"/>
        </w:rPr>
        <w:t>Primary endpoint: AUROC on West China at 0% noise. Between-model comparisons used bootstrap (2,000 paired patient-level resamples, 95% percentile CI, two-sided empirical p-values, nominal alpha=0.05, no multiplicity correction). Individual model 95% CIs via same bootstrap. Secondary: internal AUROC (descriptive only), Japan AUROC (no hypothesis testing due to n=27 cancers, limited power), Monte Carlo noise (100 perturbations x 7 noise levels, reported as mean +/- SD), prespecified risk tiers (thresholds defined on training data, applied frozen to West China). Implementation: Python 3.13, scikit-learn 1.6 [58], XGBoost 2.1, CatBoost 1.2. Complete pipeline: https://github.com/angelayaoo/Ovarian-Cancer-RiskSLIM.</w:t>
      </w:r>
    </w:p>
    <w:p>
      <w:pPr>
        <w:pStyle w:val="Heading1"/>
        <w:jc w:val="left"/>
      </w:pPr>
      <w:r>
        <w:rPr>
          <w:rFonts w:ascii="Times New Roman" w:hAnsi="Times New Roman" w:eastAsia="Times New Roman"/>
          <w:sz w:val="28"/>
        </w:rPr>
        <w:t>Results</w:t>
      </w:r>
    </w:p>
    <w:p>
      <w:pPr>
        <w:pStyle w:val="Heading2"/>
        <w:jc w:val="left"/>
      </w:pPr>
      <w:r>
        <w:rPr>
          <w:rFonts w:ascii="Times New Roman" w:hAnsi="Times New Roman" w:eastAsia="Times New Roman"/>
          <w:sz w:val="26"/>
        </w:rPr>
        <w:t>Learned Scorecard</w:t>
      </w:r>
    </w:p>
    <w:p>
      <w:pPr>
        <w:spacing w:after="120"/>
      </w:pPr>
      <w:r>
        <w:rPr>
          <w:rFonts w:ascii="Times New Roman" w:hAnsi="Times New Roman" w:eastAsia="Times New Roman"/>
          <w:sz w:val="24"/>
        </w:rPr>
        <w:t>Seven of 12 coefficients were non-zero after integer rounding (Figure 1). HE4 extremes dominated: +5 (highest tertile), -4 (lowest). CA125 and Age showed non-monotonic profiles (middle tertile = 0). Menopause received zero weight.</w:t>
      </w:r>
    </w:p>
    <w:p>
      <w:pPr>
        <w:jc w:val="center"/>
      </w:pPr>
      <w:r>
        <w:drawing>
          <wp:inline xmlns:a="http://schemas.openxmlformats.org/drawingml/2006/main" xmlns:pic="http://schemas.openxmlformats.org/drawingml/2006/picture">
            <wp:extent cx="4846320" cy="2700270"/>
            <wp:docPr id="2" name="Picture 2"/>
            <wp:cNvGraphicFramePr>
              <a:graphicFrameLocks noChangeAspect="1"/>
            </wp:cNvGraphicFramePr>
            <a:graphic>
              <a:graphicData uri="http://schemas.openxmlformats.org/drawingml/2006/picture">
                <pic:pic>
                  <pic:nvPicPr>
                    <pic:cNvPr id="0" name="fig6_benchmark_table.png"/>
                    <pic:cNvPicPr/>
                  </pic:nvPicPr>
                  <pic:blipFill>
                    <a:blip r:embed="rId10"/>
                    <a:stretch>
                      <a:fillRect/>
                    </a:stretch>
                  </pic:blipFill>
                  <pic:spPr>
                    <a:xfrm>
                      <a:off x="0" y="0"/>
                      <a:ext cx="4846320" cy="2700270"/>
                    </a:xfrm>
                    <a:prstGeom prst="rect"/>
                  </pic:spPr>
                </pic:pic>
              </a:graphicData>
            </a:graphic>
          </wp:inline>
        </w:drawing>
      </w:r>
    </w:p>
    <w:p>
      <w:pPr>
        <w:jc w:val="center"/>
      </w:pPr>
      <w:r>
        <w:rPr>
          <w:rFonts w:ascii="Times New Roman" w:hAnsi="Times New Roman"/>
          <w:i/>
          <w:sz w:val="18"/>
        </w:rPr>
        <w:t>Figure 2. Monte Carlo benchmark results (100 perturbations/level, all 5 models, 3 cohorts, 7 noise levels). Green = best AUROC per row. Purple = least degradation in Delta rows. RiskSLIM column bolded. Delta rows (grey) show 0% to 30% noise degradation.</w:t>
      </w:r>
    </w:p>
    <w:p/>
    <w:p>
      <w:pPr>
        <w:pStyle w:val="Heading2"/>
        <w:jc w:val="left"/>
      </w:pPr>
      <w:r>
        <w:rPr>
          <w:rFonts w:ascii="Times New Roman" w:hAnsi="Times New Roman" w:eastAsia="Times New Roman"/>
          <w:sz w:val="26"/>
        </w:rPr>
        <w:t>Primary Outcome: West China External Validation</w:t>
      </w:r>
    </w:p>
    <w:p>
      <w:pPr>
        <w:spacing w:after="120"/>
      </w:pPr>
      <w:r>
        <w:rPr>
          <w:rFonts w:ascii="Times New Roman" w:hAnsi="Times New Roman" w:eastAsia="Times New Roman"/>
          <w:sz w:val="24"/>
        </w:rPr>
        <w:t>At 0% noise: scorecard AUROC 0.929 (95% bootstrap CI: 0.902-0.955). Bootstrap pairwise comparisons (2,000 resamples, paired): ROMA (0.875, Delta=+0.054, 95% CI: 0.022-0.088, p=0.002), XGBoost (0.891, Delta=+0.039, 95% CI: 0.015-0.064, p&lt;0.001), Random Forest (0.901, Delta=+0.028, 95% CI: 0.007-0.052, p=0.010), CatBoost (0.907, Delta=+0.023, 95% CI: 0.001-0.047, p=0.031) (Figure 5). Scorecard alone showed negative generalization gap (+0.026). Tree models: +0.081 to +0.095 (Figure 4 left).</w:t>
      </w:r>
    </w:p>
    <w:p>
      <w:pPr>
        <w:jc w:val="center"/>
      </w:pPr>
      <w:r>
        <w:drawing>
          <wp:inline xmlns:a="http://schemas.openxmlformats.org/drawingml/2006/main" xmlns:pic="http://schemas.openxmlformats.org/drawingml/2006/picture">
            <wp:extent cx="4846320" cy="2679560"/>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4846320" cy="2679560"/>
                    </a:xfrm>
                    <a:prstGeom prst="rect"/>
                  </pic:spPr>
                </pic:pic>
              </a:graphicData>
            </a:graphic>
          </wp:inline>
        </w:drawing>
      </w:r>
    </w:p>
    <w:p>
      <w:pPr>
        <w:jc w:val="center"/>
      </w:pPr>
      <w:r>
        <w:rPr>
          <w:rFonts w:ascii="Times New Roman" w:hAnsi="Times New Roman"/>
          <w:i/>
          <w:sz w:val="18"/>
        </w:rPr>
        <w:t>Figure 3. Cross-cohort model comparison at 0% noise. RiskSLIM (green) is the only model with external &gt; internal performance.</w:t>
      </w:r>
    </w:p>
    <w:p/>
    <w:p>
      <w:pPr>
        <w:pStyle w:val="Heading2"/>
        <w:jc w:val="left"/>
      </w:pPr>
      <w:r>
        <w:rPr>
          <w:rFonts w:ascii="Times New Roman" w:hAnsi="Times New Roman" w:eastAsia="Times New Roman"/>
          <w:sz w:val="26"/>
        </w:rPr>
        <w:t>Noise Robustness and Japanese Cohort</w:t>
      </w:r>
    </w:p>
    <w:p>
      <w:pPr>
        <w:spacing w:after="120"/>
      </w:pPr>
      <w:r>
        <w:rPr>
          <w:rFonts w:ascii="Times New Roman" w:hAnsi="Times New Roman" w:eastAsia="Times New Roman"/>
          <w:sz w:val="24"/>
        </w:rPr>
        <w:t>Under 30% noise on West China: XGBoost -0.106 (11.9%), CatBoost -0.086 (9.5%), ROMA -0.068 (7.8%), Random Forest -0.067 (7.5%), scorecard -0.043 (4.7%) (Figure 4 right). On Japan: scorecard AUROC 0.769, nominally exceeding ROMA (0.749). Between-model hypothesis testing not performed (n=27 cancers, limited power). 74% of Japanese cancers fell into lowest quantile bins alongside 87% of benign patients — bin discrimination inherently limited. Apparent low noise degradation is a floor effect: with poor baseline separation, noise rarely alters bin assignments.</w:t>
      </w:r>
    </w:p>
    <w:p>
      <w:pPr>
        <w:jc w:val="center"/>
      </w:pPr>
      <w:r>
        <w:drawing>
          <wp:inline xmlns:a="http://schemas.openxmlformats.org/drawingml/2006/main" xmlns:pic="http://schemas.openxmlformats.org/drawingml/2006/picture">
            <wp:extent cx="4846320" cy="178081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4846320" cy="1780810"/>
                    </a:xfrm>
                    <a:prstGeom prst="rect"/>
                  </pic:spPr>
                </pic:pic>
              </a:graphicData>
            </a:graphic>
          </wp:inline>
        </w:drawing>
      </w:r>
    </w:p>
    <w:p>
      <w:pPr>
        <w:jc w:val="center"/>
      </w:pPr>
      <w:r>
        <w:rPr>
          <w:rFonts w:ascii="Times New Roman" w:hAnsi="Times New Roman"/>
          <w:i/>
          <w:sz w:val="18"/>
        </w:rPr>
        <w:t>Figure 4. Left: Generalization gap (Internal minus External AUROC). Red = overfits, Green = generalizes. Right: Noise degradation on West China (0% to 30% noise, with relative % loss). Red = severe (&gt;6%), Orange = moderate (4-6%), Green = low (&lt;4%). RiskSLIM shows the lowest degradation: -0.043 (4.7%).</w:t>
      </w:r>
    </w:p>
    <w:p/>
    <w:p>
      <w:pPr>
        <w:pStyle w:val="Heading2"/>
        <w:jc w:val="left"/>
      </w:pPr>
      <w:r>
        <w:rPr>
          <w:rFonts w:ascii="Times New Roman" w:hAnsi="Times New Roman" w:eastAsia="Times New Roman"/>
          <w:sz w:val="26"/>
        </w:rPr>
        <w:t>Risk Stratification</w:t>
      </w:r>
    </w:p>
    <w:p>
      <w:pPr>
        <w:spacing w:after="120"/>
      </w:pPr>
      <w:r>
        <w:rPr>
          <w:rFonts w:ascii="Times New Roman" w:hAnsi="Times New Roman" w:eastAsia="Times New Roman"/>
          <w:sz w:val="24"/>
        </w:rPr>
        <w:t>Six prespecified tiers on West China (n=380): Very Low (&lt;=-2, 10.2%), Low (-1-0, 40.3%), Low-Int (1-2, 93.1%), Int (3-4, 97.8%), High-Int (5-6, 100%), High (&gt;=7, 100%) (Figure 6).</w:t>
      </w:r>
    </w:p>
    <w:p>
      <w:pPr>
        <w:jc w:val="center"/>
      </w:pPr>
      <w:r>
        <w:drawing>
          <wp:inline xmlns:a="http://schemas.openxmlformats.org/drawingml/2006/main" xmlns:pic="http://schemas.openxmlformats.org/drawingml/2006/picture">
            <wp:extent cx="4846320" cy="1752924"/>
            <wp:docPr id="5" name="Picture 5"/>
            <wp:cNvGraphicFramePr>
              <a:graphicFrameLocks noChangeAspect="1"/>
            </wp:cNvGraphicFramePr>
            <a:graphic>
              <a:graphicData uri="http://schemas.openxmlformats.org/drawingml/2006/picture">
                <pic:pic>
                  <pic:nvPicPr>
                    <pic:cNvPr id="0" name="fig1_bootstrap_pairwise.png"/>
                    <pic:cNvPicPr/>
                  </pic:nvPicPr>
                  <pic:blipFill>
                    <a:blip r:embed="rId13"/>
                    <a:stretch>
                      <a:fillRect/>
                    </a:stretch>
                  </pic:blipFill>
                  <pic:spPr>
                    <a:xfrm>
                      <a:off x="0" y="0"/>
                      <a:ext cx="4846320" cy="1752924"/>
                    </a:xfrm>
                    <a:prstGeom prst="rect"/>
                  </pic:spPr>
                </pic:pic>
              </a:graphicData>
            </a:graphic>
          </wp:inline>
        </w:drawing>
      </w:r>
    </w:p>
    <w:p>
      <w:pPr>
        <w:jc w:val="center"/>
      </w:pPr>
      <w:r>
        <w:rPr>
          <w:rFonts w:ascii="Times New Roman" w:hAnsi="Times New Roman"/>
          <w:i/>
          <w:sz w:val="18"/>
        </w:rPr>
        <w:t>Figure 5. Bootstrap pairwise comparisons (2,000 resamples, West China, 0% noise). *** p&lt;0.001, ** p&lt;0.01, * p&lt;0.05.</w:t>
      </w:r>
    </w:p>
    <w:p/>
    <w:p>
      <w:pPr>
        <w:jc w:val="center"/>
      </w:pPr>
      <w:r>
        <w:drawing>
          <wp:inline xmlns:a="http://schemas.openxmlformats.org/drawingml/2006/main" xmlns:pic="http://schemas.openxmlformats.org/drawingml/2006/picture">
            <wp:extent cx="4846320" cy="1474833"/>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4846320" cy="1474833"/>
                    </a:xfrm>
                    <a:prstGeom prst="rect"/>
                  </pic:spPr>
                </pic:pic>
              </a:graphicData>
            </a:graphic>
          </wp:inline>
        </w:drawing>
      </w:r>
    </w:p>
    <w:p>
      <w:pPr>
        <w:jc w:val="center"/>
      </w:pPr>
      <w:r>
        <w:rPr>
          <w:rFonts w:ascii="Times New Roman" w:hAnsi="Times New Roman"/>
          <w:i/>
          <w:sz w:val="18"/>
        </w:rPr>
        <w:t>Figure 6. Risk stratification by integer score (West China, n=380). Cancer prevalence increases monotonically across six prespecified tiers.</w:t>
      </w:r>
    </w:p>
    <w:p/>
    <w:p>
      <w:pPr>
        <w:pStyle w:val="Heading1"/>
        <w:jc w:val="left"/>
      </w:pPr>
      <w:r>
        <w:rPr>
          <w:rFonts w:ascii="Times New Roman" w:hAnsi="Times New Roman" w:eastAsia="Times New Roman"/>
          <w:sz w:val="28"/>
        </w:rPr>
        <w:t>Discussion</w:t>
      </w:r>
    </w:p>
    <w:p>
      <w:pPr>
        <w:spacing w:after="120"/>
      </w:pPr>
      <w:r>
        <w:rPr>
          <w:rFonts w:ascii="Times New Roman" w:hAnsi="Times New Roman" w:eastAsia="Times New Roman"/>
          <w:sz w:val="24"/>
        </w:rPr>
        <w:t>This study demonstrates that a 7-weight integer scorecard using four preoperative biomarkers — CA125, HE4, Age, and Menopausal status — achieves external West China AUROC of 0.929, quantitatively exceeding ROMA (+0.054, p=0.002) and three tree-based ML models (all p&lt;=0.031) on independent cross-cohort validation. The scorecard exhibits the lowest generalization gap (+0.026, i.e., external exceeds internal), 2.5x less noise degradation than XGBoost, and provides clinically actionable risk stratification. The finding that ensemble methods with thousands of parameters achieve near-perfect internal AUROC (0.97-0.99) yet are all outperformed by a 7-parameter linear scorecard on external validation reinforces the importance of external validation in clinical ML studies [27,28].</w:t>
      </w:r>
    </w:p>
    <w:p>
      <w:pPr>
        <w:pStyle w:val="Heading2"/>
        <w:jc w:val="left"/>
      </w:pPr>
      <w:r>
        <w:rPr>
          <w:rFonts w:ascii="Times New Roman" w:hAnsi="Times New Roman" w:eastAsia="Times New Roman"/>
          <w:sz w:val="26"/>
        </w:rPr>
        <w:t>Open Data and Reproducibility</w:t>
      </w:r>
    </w:p>
    <w:p>
      <w:pPr>
        <w:spacing w:after="120"/>
      </w:pPr>
      <w:r>
        <w:rPr>
          <w:rFonts w:ascii="Times New Roman" w:hAnsi="Times New Roman" w:eastAsia="Times New Roman"/>
          <w:sz w:val="24"/>
        </w:rPr>
        <w:t>A methodological strength of this study is its exclusive use of publicly available, open-access datasets [dataset 1-3]. All three cohorts are downloadable from established data repositories (Mendeley Data, figshare, Karger figshare), enabling full external reproducibility of the preprocessing pipeline, model training, and evaluation. The complete analysis codebase, including trained model weights and benchmark results, is publicly available under the MIT License [repository URL]. This contrasts with most published clinical prediction models, which rely on proprietary institutional datasets that cannot be independently verified [28].</w:t>
      </w:r>
    </w:p>
    <w:p>
      <w:pPr>
        <w:pStyle w:val="Heading2"/>
        <w:jc w:val="left"/>
      </w:pPr>
      <w:r>
        <w:rPr>
          <w:rFonts w:ascii="Times New Roman" w:hAnsi="Times New Roman" w:eastAsia="Times New Roman"/>
          <w:sz w:val="26"/>
        </w:rPr>
        <w:t>Limitations</w:t>
      </w:r>
    </w:p>
    <w:p>
      <w:pPr>
        <w:spacing w:after="120"/>
      </w:pPr>
      <w:r>
        <w:rPr>
          <w:rFonts w:ascii="Times New Roman" w:hAnsi="Times New Roman" w:eastAsia="Times New Roman"/>
          <w:sz w:val="24"/>
        </w:rPr>
        <w:t>This study has specific limitations. (1) Japanese cohort: 27 cancers among 177 patients limits statistical power; formal hypothesis testing was not performed. All patients had uniformly premenopausal status. Apparent low noise degradation reflects a floor effect: with 74% of cancers already in lowest quantile bins at baseline, noise rarely alters bin assignments — there is little discriminative capacity to lose. The West China cohort, with well-separated biomarker distributions, provides the more informative assessment. (2) Training data: 349 patients, adequate for 7-parameter model (~50 events/variable [63]) but modest by ML standards. (3) External cohorts lacked hematological panels available in training data; internal analysis with 47 variables achieved CV AUROC 0.925. (4) Retrospective design; risk tiers not prospectively validated; no decision curve analysis. (5) Assay calibration differences across institutions not directly controlled. (6) Scorecard trained without menopause stratification. (7) All three cohorts are Asian; generalizability to non-Asian populations not established.</w:t>
      </w:r>
    </w:p>
    <w:p>
      <w:pPr>
        <w:pStyle w:val="Heading2"/>
        <w:jc w:val="left"/>
      </w:pPr>
      <w:r>
        <w:rPr>
          <w:rFonts w:ascii="Times New Roman" w:hAnsi="Times New Roman" w:eastAsia="Times New Roman"/>
          <w:sz w:val="26"/>
        </w:rPr>
        <w:t>Conclusions</w:t>
      </w:r>
    </w:p>
    <w:p>
      <w:pPr>
        <w:spacing w:after="120"/>
      </w:pPr>
      <w:r>
        <w:rPr>
          <w:rFonts w:ascii="Times New Roman" w:hAnsi="Times New Roman" w:eastAsia="Times New Roman"/>
          <w:sz w:val="24"/>
        </w:rPr>
        <w:t>An integer scorecard using four biomarkers with quantile-based binning achieves external West China AUROC 0.929, statistically significantly exceeding ROMA (p=0.002) and three ML models (all p&lt;0.05, bootstrap). The scorecard degrades 4.7% under 30% noise (vs. 11.9% for XGBoost) and stratifies patients into six actionable risk tiers. Distribution-aware preprocessing with conservative discretization — not model complexity — may be the most productive direction for clinical prediction models that generalize across populations.</w:t>
      </w:r>
    </w:p>
    <w:p>
      <w:pPr>
        <w:pStyle w:val="Heading1"/>
        <w:jc w:val="left"/>
      </w:pPr>
      <w:r>
        <w:rPr>
          <w:rFonts w:ascii="Times New Roman" w:hAnsi="Times New Roman" w:eastAsia="Times New Roman"/>
          <w:sz w:val="28"/>
        </w:rPr>
        <w:t>References</w:t>
      </w:r>
    </w:p>
    <w:p>
      <w:pPr>
        <w:spacing w:after="40"/>
      </w:pPr>
      <w:r>
        <w:rPr>
          <w:rFonts w:ascii="Times New Roman" w:hAnsi="Times New Roman"/>
          <w:sz w:val="20"/>
        </w:rPr>
        <w:t>1. Sung H et al. Global Cancer Statistics 2020. CA Cancer J Clin. 2021;71(3):209-249.</w:t>
      </w:r>
    </w:p>
    <w:p>
      <w:pPr>
        <w:spacing w:after="40"/>
      </w:pPr>
      <w:r>
        <w:rPr>
          <w:rFonts w:ascii="Times New Roman" w:hAnsi="Times New Roman"/>
          <w:sz w:val="20"/>
        </w:rPr>
        <w:t>2. Torre LA et al. Ovarian cancer statistics, 2018. CA Cancer J Clin. 2018;68(4):284-296.</w:t>
      </w:r>
    </w:p>
    <w:p>
      <w:pPr>
        <w:spacing w:after="40"/>
      </w:pPr>
      <w:r>
        <w:rPr>
          <w:rFonts w:ascii="Times New Roman" w:hAnsi="Times New Roman"/>
          <w:sz w:val="20"/>
        </w:rPr>
        <w:t>3. Lheureux S et al. Epithelial ovarian cancer. Lancet. 2019;393:1240-1253.</w:t>
      </w:r>
    </w:p>
    <w:p>
      <w:pPr>
        <w:spacing w:after="40"/>
      </w:pPr>
      <w:r>
        <w:rPr>
          <w:rFonts w:ascii="Times New Roman" w:hAnsi="Times New Roman"/>
          <w:sz w:val="20"/>
        </w:rPr>
        <w:t>4. Menon U et al. UKCTOCS long-term follow-up. Lancet. 2021;397:2182-2193.</w:t>
      </w:r>
    </w:p>
    <w:p>
      <w:pPr>
        <w:spacing w:after="40"/>
      </w:pPr>
      <w:r>
        <w:rPr>
          <w:rFonts w:ascii="Times New Roman" w:hAnsi="Times New Roman"/>
          <w:sz w:val="20"/>
        </w:rPr>
        <w:t>5. Jacobs IJ et al. UKCTOCS primary results. Lancet. 2016;387:945-956.</w:t>
      </w:r>
    </w:p>
    <w:p>
      <w:pPr>
        <w:spacing w:after="40"/>
      </w:pPr>
      <w:r>
        <w:rPr>
          <w:rFonts w:ascii="Times New Roman" w:hAnsi="Times New Roman"/>
          <w:sz w:val="20"/>
        </w:rPr>
        <w:t>6. Kaijser J et al. IOTA studies summary. Ultrasound Obstet Gynecol. 2013;41:9-20.</w:t>
      </w:r>
    </w:p>
    <w:p>
      <w:pPr>
        <w:spacing w:after="40"/>
      </w:pPr>
      <w:r>
        <w:rPr>
          <w:rFonts w:ascii="Times New Roman" w:hAnsi="Times New Roman"/>
          <w:sz w:val="20"/>
        </w:rPr>
        <w:t>7. Timmerman D et al. ESGO/ISUOG/IOTA consensus. Int J Gynecol Cancer. 2021;31:961-982.</w:t>
      </w:r>
    </w:p>
    <w:p>
      <w:pPr>
        <w:spacing w:after="40"/>
      </w:pPr>
      <w:r>
        <w:rPr>
          <w:rFonts w:ascii="Times New Roman" w:hAnsi="Times New Roman"/>
          <w:sz w:val="20"/>
        </w:rPr>
        <w:t>8. Bast RC et al. CA125 radioimmunoassay. N Engl J Med. 1983;309:883-887.</w:t>
      </w:r>
    </w:p>
    <w:p>
      <w:pPr>
        <w:spacing w:after="40"/>
      </w:pPr>
      <w:r>
        <w:rPr>
          <w:rFonts w:ascii="Times New Roman" w:hAnsi="Times New Roman"/>
          <w:sz w:val="20"/>
        </w:rPr>
        <w:t>9. Jacobs I, Bast RC. CA125 review. Hum Reprod. 1989;4:1-12.</w:t>
      </w:r>
    </w:p>
    <w:p>
      <w:pPr>
        <w:spacing w:after="40"/>
      </w:pPr>
      <w:r>
        <w:rPr>
          <w:rFonts w:ascii="Times New Roman" w:hAnsi="Times New Roman"/>
          <w:sz w:val="20"/>
        </w:rPr>
        <w:t>10. Hellstrom I et al. HE4 biomarker. Cancer Res. 2003;63:3695-3700.</w:t>
      </w:r>
    </w:p>
    <w:p>
      <w:pPr>
        <w:spacing w:after="40"/>
      </w:pPr>
      <w:r>
        <w:rPr>
          <w:rFonts w:ascii="Times New Roman" w:hAnsi="Times New Roman"/>
          <w:sz w:val="20"/>
        </w:rPr>
        <w:t>11. Drapkin R et al. HE4 characterization. Cancer Res. 2005;65:2162-2169.</w:t>
      </w:r>
    </w:p>
    <w:p>
      <w:pPr>
        <w:spacing w:after="40"/>
      </w:pPr>
      <w:r>
        <w:rPr>
          <w:rFonts w:ascii="Times New Roman" w:hAnsi="Times New Roman"/>
          <w:sz w:val="20"/>
        </w:rPr>
        <w:t>12. Moore RG et al. ROMA algorithm. Gynecol Oncol. 2009;112:40-46.</w:t>
      </w:r>
    </w:p>
    <w:p>
      <w:pPr>
        <w:spacing w:after="40"/>
      </w:pPr>
      <w:r>
        <w:rPr>
          <w:rFonts w:ascii="Times New Roman" w:hAnsi="Times New Roman"/>
          <w:sz w:val="20"/>
        </w:rPr>
        <w:t>13. Moore RG et al. ROMA validation. Obstet Gynecol. 2011;118:280-288.</w:t>
      </w:r>
    </w:p>
    <w:p>
      <w:pPr>
        <w:spacing w:after="40"/>
      </w:pPr>
      <w:r>
        <w:rPr>
          <w:rFonts w:ascii="Times New Roman" w:hAnsi="Times New Roman"/>
          <w:sz w:val="20"/>
        </w:rPr>
        <w:t>14. Van Gorp T et al. HE4 and CA125 prospective validation. Br J Cancer. 2011;104:863-870.</w:t>
      </w:r>
    </w:p>
    <w:p>
      <w:pPr>
        <w:spacing w:after="40"/>
      </w:pPr>
      <w:r>
        <w:rPr>
          <w:rFonts w:ascii="Times New Roman" w:hAnsi="Times New Roman"/>
          <w:sz w:val="20"/>
        </w:rPr>
        <w:t>15. Li F et al. ROMA meta-analysis. BMC Cancer. 2012;12:258.</w:t>
      </w:r>
    </w:p>
    <w:p>
      <w:pPr>
        <w:spacing w:after="40"/>
      </w:pPr>
      <w:r>
        <w:rPr>
          <w:rFonts w:ascii="Times New Roman" w:hAnsi="Times New Roman"/>
          <w:sz w:val="20"/>
        </w:rPr>
        <w:t>16. Dayyani F et al. ROMA meta-analysis. Int J Gynecol Cancer. 2016;26:1586-1593.</w:t>
      </w:r>
    </w:p>
    <w:p>
      <w:pPr>
        <w:spacing w:after="40"/>
      </w:pPr>
      <w:r>
        <w:rPr>
          <w:rFonts w:ascii="Times New Roman" w:hAnsi="Times New Roman"/>
          <w:sz w:val="20"/>
        </w:rPr>
        <w:t>17. Blythe LA, Trivers KF. Inter-platform CA125/HE4 variation. Clin Chem Lab Med. 2010;48:1100-1108.</w:t>
      </w:r>
    </w:p>
    <w:p>
      <w:pPr>
        <w:spacing w:after="40"/>
      </w:pPr>
      <w:r>
        <w:rPr>
          <w:rFonts w:ascii="Times New Roman" w:hAnsi="Times New Roman"/>
          <w:sz w:val="20"/>
        </w:rPr>
        <w:t>18. Molina R et al. HE4 comparison with CA125. Tumour Biol. 2011;32:1087-1095.</w:t>
      </w:r>
    </w:p>
    <w:p>
      <w:pPr>
        <w:spacing w:after="40"/>
      </w:pPr>
      <w:r>
        <w:rPr>
          <w:rFonts w:ascii="Times New Roman" w:hAnsi="Times New Roman"/>
          <w:sz w:val="20"/>
        </w:rPr>
        <w:t>19. Testa A et al. Ovarian cancer diagnostic strategies. Br J Cancer. 2014;111:680-688.</w:t>
      </w:r>
    </w:p>
    <w:p>
      <w:pPr>
        <w:spacing w:after="40"/>
      </w:pPr>
      <w:r>
        <w:rPr>
          <w:rFonts w:ascii="Times New Roman" w:hAnsi="Times New Roman"/>
          <w:sz w:val="20"/>
        </w:rPr>
        <w:t>20. Kawakami E et al. AI for ovarian cancer prediction. Clin Cancer Res. 2019;25:3006-3015.</w:t>
      </w:r>
    </w:p>
    <w:p>
      <w:pPr>
        <w:spacing w:after="40"/>
      </w:pPr>
      <w:r>
        <w:rPr>
          <w:rFonts w:ascii="Times New Roman" w:hAnsi="Times New Roman"/>
          <w:sz w:val="20"/>
        </w:rPr>
        <w:t>21. Lu M et al. ML for ovarian cancer prediction. Int J Med Inform. 2020;141:104195.</w:t>
      </w:r>
    </w:p>
    <w:p>
      <w:pPr>
        <w:spacing w:after="40"/>
      </w:pPr>
      <w:r>
        <w:rPr>
          <w:rFonts w:ascii="Times New Roman" w:hAnsi="Times New Roman"/>
          <w:sz w:val="20"/>
        </w:rPr>
        <w:t>22. Arezzo F et al. ML on gynecological ultrasound. Arch Gynecol Obstet. 2022;306:2143-2150.</w:t>
      </w:r>
    </w:p>
    <w:p>
      <w:pPr>
        <w:spacing w:after="40"/>
      </w:pPr>
      <w:r>
        <w:rPr>
          <w:rFonts w:ascii="Times New Roman" w:hAnsi="Times New Roman"/>
          <w:sz w:val="20"/>
        </w:rPr>
        <w:t>23. Akazawa M, Hashimoto K. AI in ovarian cancer. Anticancer Res. 2021;41:3765-3772.</w:t>
      </w:r>
    </w:p>
    <w:p>
      <w:pPr>
        <w:spacing w:after="40"/>
      </w:pPr>
      <w:r>
        <w:rPr>
          <w:rFonts w:ascii="Times New Roman" w:hAnsi="Times New Roman"/>
          <w:sz w:val="20"/>
        </w:rPr>
        <w:t>24. Topol EJ. High-performance medicine. Nat Med. 2019;25:44-56.</w:t>
      </w:r>
    </w:p>
    <w:p>
      <w:pPr>
        <w:spacing w:after="40"/>
      </w:pPr>
      <w:r>
        <w:rPr>
          <w:rFonts w:ascii="Times New Roman" w:hAnsi="Times New Roman"/>
          <w:sz w:val="20"/>
        </w:rPr>
        <w:t>25. Beam AL, Kohane IS. Big data and ML in healthcare. JAMA. 2018;319:1317-1318.</w:t>
      </w:r>
    </w:p>
    <w:p>
      <w:pPr>
        <w:spacing w:after="40"/>
      </w:pPr>
      <w:r>
        <w:rPr>
          <w:rFonts w:ascii="Times New Roman" w:hAnsi="Times New Roman"/>
          <w:sz w:val="20"/>
        </w:rPr>
        <w:t>26. Kelly CJ et al. Clinical impact challenges with AI. BMC Med. 2019;17:195.</w:t>
      </w:r>
    </w:p>
    <w:p>
      <w:pPr>
        <w:spacing w:after="40"/>
      </w:pPr>
      <w:r>
        <w:rPr>
          <w:rFonts w:ascii="Times New Roman" w:hAnsi="Times New Roman"/>
          <w:sz w:val="20"/>
        </w:rPr>
        <w:t>27. Roberts M et al. ML pitfalls for COVID-19 imaging. Nat Mach Intell. 2021;3:199-217.</w:t>
      </w:r>
    </w:p>
    <w:p>
      <w:pPr>
        <w:spacing w:after="40"/>
      </w:pPr>
      <w:r>
        <w:rPr>
          <w:rFonts w:ascii="Times New Roman" w:hAnsi="Times New Roman"/>
          <w:sz w:val="20"/>
        </w:rPr>
        <w:t>28. Wynants L et al. COVID-19 prediction models review. BMJ. 2020;369:m1328.</w:t>
      </w:r>
    </w:p>
    <w:p>
      <w:pPr>
        <w:spacing w:after="40"/>
      </w:pPr>
      <w:r>
        <w:rPr>
          <w:rFonts w:ascii="Times New Roman" w:hAnsi="Times New Roman"/>
          <w:sz w:val="20"/>
        </w:rPr>
        <w:t>29. Collins GS et al. TRIPOD statement. BMJ. 2015;350:g7594.</w:t>
      </w:r>
    </w:p>
    <w:p>
      <w:pPr>
        <w:spacing w:after="40"/>
      </w:pPr>
      <w:r>
        <w:rPr>
          <w:rFonts w:ascii="Times New Roman" w:hAnsi="Times New Roman"/>
          <w:sz w:val="20"/>
        </w:rPr>
        <w:t>30. Steyerberg EW et al. Prediction model assessment. Epidemiology. 2010;21:128-138.</w:t>
      </w:r>
    </w:p>
    <w:p>
      <w:pPr>
        <w:spacing w:after="40"/>
      </w:pPr>
      <w:r>
        <w:rPr>
          <w:rFonts w:ascii="Times New Roman" w:hAnsi="Times New Roman"/>
          <w:sz w:val="20"/>
        </w:rPr>
        <w:t>31. Ustun B, Rudin C. RiskSLIM scorecards. Mach Learn. 2016;102:349-391.</w:t>
      </w:r>
    </w:p>
    <w:p>
      <w:pPr>
        <w:spacing w:after="40"/>
      </w:pPr>
      <w:r>
        <w:rPr>
          <w:rFonts w:ascii="Times New Roman" w:hAnsi="Times New Roman"/>
          <w:sz w:val="20"/>
        </w:rPr>
        <w:t>32. Ustun B, Rudin C. Optimized risk scores. JMLR. 2019;20(150):1-75.</w:t>
      </w:r>
    </w:p>
    <w:p>
      <w:pPr>
        <w:spacing w:after="40"/>
      </w:pPr>
      <w:r>
        <w:rPr>
          <w:rFonts w:ascii="Times New Roman" w:hAnsi="Times New Roman"/>
          <w:sz w:val="20"/>
        </w:rPr>
        <w:t>33. Rudin C. Stop explaining black boxes. Nat Mach Intell. 2019;1:206-215.</w:t>
      </w:r>
    </w:p>
    <w:p>
      <w:pPr>
        <w:spacing w:after="40"/>
      </w:pPr>
      <w:r>
        <w:rPr>
          <w:rFonts w:ascii="Times New Roman" w:hAnsi="Times New Roman"/>
          <w:sz w:val="20"/>
        </w:rPr>
        <w:t>34. Caruana R et al. Intelligible models for healthcare. KDD. 2015:1721-1730.</w:t>
      </w:r>
    </w:p>
    <w:p>
      <w:pPr>
        <w:spacing w:after="40"/>
      </w:pPr>
      <w:r>
        <w:rPr>
          <w:rFonts w:ascii="Times New Roman" w:hAnsi="Times New Roman"/>
          <w:sz w:val="20"/>
        </w:rPr>
        <w:t>35. Zeng J et al. Simple models vs deep learning. JCO CCI. 2022;6:e2100120.</w:t>
      </w:r>
    </w:p>
    <w:p>
      <w:pPr>
        <w:spacing w:after="40"/>
      </w:pPr>
      <w:r>
        <w:rPr>
          <w:rFonts w:ascii="Times New Roman" w:hAnsi="Times New Roman"/>
          <w:sz w:val="20"/>
        </w:rPr>
        <w:t>36. Knaus WA et al. APACHE II. Crit Care Med. 1985;13:818-829.</w:t>
      </w:r>
    </w:p>
    <w:p>
      <w:pPr>
        <w:spacing w:after="40"/>
      </w:pPr>
      <w:r>
        <w:rPr>
          <w:rFonts w:ascii="Times New Roman" w:hAnsi="Times New Roman"/>
          <w:sz w:val="20"/>
        </w:rPr>
        <w:t>37. Wells PS et al. Wells criteria for PE. Thromb Haemost. 2000;83:416-420.</w:t>
      </w:r>
    </w:p>
    <w:p>
      <w:pPr>
        <w:spacing w:after="40"/>
      </w:pPr>
      <w:r>
        <w:rPr>
          <w:rFonts w:ascii="Times New Roman" w:hAnsi="Times New Roman"/>
          <w:sz w:val="20"/>
        </w:rPr>
        <w:t>38. Lip GY et al. CHA2DS2-VASc. Chest. 2010;137:263-272.</w:t>
      </w:r>
    </w:p>
    <w:p>
      <w:pPr>
        <w:spacing w:after="40"/>
      </w:pPr>
      <w:r>
        <w:rPr>
          <w:rFonts w:ascii="Times New Roman" w:hAnsi="Times New Roman"/>
          <w:sz w:val="20"/>
        </w:rPr>
        <w:t>39. Troyanskaya O et al. KNN imputation. Bioinformatics. 2001;17:520-525.</w:t>
      </w:r>
    </w:p>
    <w:p>
      <w:pPr>
        <w:spacing w:after="40"/>
      </w:pPr>
      <w:r>
        <w:rPr>
          <w:rFonts w:ascii="Times New Roman" w:hAnsi="Times New Roman"/>
          <w:sz w:val="20"/>
        </w:rPr>
        <w:t>40. Bolstad BM et al. Quantile normalization. Bioinformatics. 2003;19:185-193.</w:t>
      </w:r>
    </w:p>
    <w:p>
      <w:pPr>
        <w:spacing w:after="40"/>
      </w:pPr>
      <w:r>
        <w:rPr>
          <w:rFonts w:ascii="Times New Roman" w:hAnsi="Times New Roman"/>
          <w:sz w:val="20"/>
        </w:rPr>
        <w:t>41. Hoerl AE, Kennard RW. Ridge regression. Technometrics. 1970;12:55-67.</w:t>
      </w:r>
    </w:p>
    <w:p>
      <w:pPr>
        <w:spacing w:after="40"/>
      </w:pPr>
      <w:r>
        <w:rPr>
          <w:rFonts w:ascii="Times New Roman" w:hAnsi="Times New Roman"/>
          <w:sz w:val="20"/>
        </w:rPr>
        <w:t>42. Chen T, Guestrin C. XGBoost. KDD. 2016:785-794.</w:t>
      </w:r>
    </w:p>
    <w:p>
      <w:pPr>
        <w:spacing w:after="40"/>
      </w:pPr>
      <w:r>
        <w:rPr>
          <w:rFonts w:ascii="Times New Roman" w:hAnsi="Times New Roman"/>
          <w:sz w:val="20"/>
        </w:rPr>
        <w:t>43. Prokhorenkova L et al. CatBoost. NeurIPS. 2018;31.</w:t>
      </w:r>
    </w:p>
    <w:p>
      <w:pPr>
        <w:spacing w:after="40"/>
      </w:pPr>
      <w:r>
        <w:rPr>
          <w:rFonts w:ascii="Times New Roman" w:hAnsi="Times New Roman"/>
          <w:sz w:val="20"/>
        </w:rPr>
        <w:t>44. Breiman L. Random forests. Mach Learn. 2001;45:5-32.</w:t>
      </w:r>
    </w:p>
    <w:p>
      <w:pPr>
        <w:spacing w:after="40"/>
      </w:pPr>
      <w:r>
        <w:rPr>
          <w:rFonts w:ascii="Times New Roman" w:hAnsi="Times New Roman"/>
          <w:sz w:val="20"/>
        </w:rPr>
        <w:t>45. Fraser CG, Harris EK. Biological variation. Crit Rev Clin Lab Sci. 1989;27:409-437.</w:t>
      </w:r>
    </w:p>
    <w:p>
      <w:pPr>
        <w:spacing w:after="40"/>
      </w:pPr>
      <w:r>
        <w:rPr>
          <w:rFonts w:ascii="Times New Roman" w:hAnsi="Times New Roman"/>
          <w:sz w:val="20"/>
        </w:rPr>
        <w:t>46. Ricos C et al. Biological variation databases. Scand J Clin Lab Invest. 1999;59:491-500.</w:t>
      </w:r>
    </w:p>
    <w:p>
      <w:pPr>
        <w:spacing w:after="40"/>
      </w:pPr>
      <w:r>
        <w:rPr>
          <w:rFonts w:ascii="Times New Roman" w:hAnsi="Times New Roman"/>
          <w:sz w:val="20"/>
        </w:rPr>
        <w:t>47. Efron B, Tibshirani RJ. An Introduction to the Bootstrap. CRC; 1994.</w:t>
      </w:r>
    </w:p>
    <w:p>
      <w:pPr>
        <w:spacing w:after="40"/>
      </w:pPr>
      <w:r>
        <w:rPr>
          <w:rFonts w:ascii="Times New Roman" w:hAnsi="Times New Roman"/>
          <w:sz w:val="20"/>
        </w:rPr>
        <w:t>48. World Medical Association. Declaration of Helsinki. JAMA. 2013;310:2191-2194.</w:t>
      </w:r>
    </w:p>
    <w:p>
      <w:pPr>
        <w:spacing w:after="40"/>
      </w:pPr>
      <w:r>
        <w:rPr>
          <w:rFonts w:ascii="Times New Roman" w:hAnsi="Times New Roman"/>
          <w:sz w:val="20"/>
        </w:rPr>
        <w:t>49. Kurman RJ et al. WHO Classification of Female Reproductive Tumours. IARC; 2014.</w:t>
      </w:r>
    </w:p>
    <w:p>
      <w:pPr>
        <w:spacing w:after="40"/>
      </w:pPr>
      <w:r>
        <w:rPr>
          <w:rFonts w:ascii="Times New Roman" w:hAnsi="Times New Roman"/>
          <w:sz w:val="20"/>
        </w:rPr>
        <w:t>50. Sterne JA et al. Multiple imputation. BMJ. 2009;338:b2393.</w:t>
      </w:r>
    </w:p>
    <w:p>
      <w:pPr>
        <w:spacing w:after="40"/>
      </w:pPr>
      <w:r>
        <w:rPr>
          <w:rFonts w:ascii="Times New Roman" w:hAnsi="Times New Roman"/>
          <w:sz w:val="20"/>
        </w:rPr>
        <w:t>51. Beretta L, Santaniello A. KNN imputation evaluation. BMC Med Inform Decis Mak. 2016;16(S3):74.</w:t>
      </w:r>
    </w:p>
    <w:p>
      <w:pPr>
        <w:spacing w:after="40"/>
      </w:pPr>
      <w:r>
        <w:rPr>
          <w:rFonts w:ascii="Times New Roman" w:hAnsi="Times New Roman"/>
          <w:sz w:val="20"/>
        </w:rPr>
        <w:t>52. Moons KG et al. TRIPOD explanation. Ann Intern Med. 2015;162:W1-73.</w:t>
      </w:r>
    </w:p>
    <w:p>
      <w:pPr>
        <w:spacing w:after="40"/>
      </w:pPr>
      <w:r>
        <w:rPr>
          <w:rFonts w:ascii="Times New Roman" w:hAnsi="Times New Roman"/>
          <w:sz w:val="20"/>
        </w:rPr>
        <w:t>53. Rubin DB. Multiple Imputation for Nonresponse. Wiley; 2004.</w:t>
      </w:r>
    </w:p>
    <w:p>
      <w:pPr>
        <w:spacing w:after="40"/>
      </w:pPr>
      <w:r>
        <w:rPr>
          <w:rFonts w:ascii="Times New Roman" w:hAnsi="Times New Roman"/>
          <w:sz w:val="20"/>
        </w:rPr>
        <w:t>54. Henderson KD et al. Menopause timing predictors. Am J Epidemiol. 2008;167:1287-1294.</w:t>
      </w:r>
    </w:p>
    <w:p>
      <w:pPr>
        <w:spacing w:after="40"/>
      </w:pPr>
      <w:r>
        <w:rPr>
          <w:rFonts w:ascii="Times New Roman" w:hAnsi="Times New Roman"/>
          <w:sz w:val="20"/>
        </w:rPr>
        <w:t>55. Cawley GC, Talbot NLC. Over-fitting in model selection. JMLR. 2010;11:2079-2107.</w:t>
      </w:r>
    </w:p>
    <w:p>
      <w:pPr>
        <w:spacing w:after="40"/>
      </w:pPr>
      <w:r>
        <w:rPr>
          <w:rFonts w:ascii="Times New Roman" w:hAnsi="Times New Roman"/>
          <w:sz w:val="20"/>
        </w:rPr>
        <w:t>56. Tibshirani R. Lasso regression. JRSSB. 1996;58:267-288.</w:t>
      </w:r>
    </w:p>
    <w:p>
      <w:pPr>
        <w:spacing w:after="40"/>
      </w:pPr>
      <w:r>
        <w:rPr>
          <w:rFonts w:ascii="Times New Roman" w:hAnsi="Times New Roman"/>
          <w:sz w:val="20"/>
        </w:rPr>
        <w:t>57. Moons KG et al. Risk prediction external validation. Heart. 2012;98:691-698.</w:t>
      </w:r>
    </w:p>
    <w:p>
      <w:pPr>
        <w:spacing w:after="40"/>
      </w:pPr>
      <w:r>
        <w:rPr>
          <w:rFonts w:ascii="Times New Roman" w:hAnsi="Times New Roman"/>
          <w:sz w:val="20"/>
        </w:rPr>
        <w:t>58. Pedregosa F et al. Scikit-learn. JMLR. 2011;12:2825-2830.</w:t>
      </w:r>
    </w:p>
    <w:p>
      <w:pPr>
        <w:spacing w:after="40"/>
      </w:pPr>
      <w:r>
        <w:rPr>
          <w:rFonts w:ascii="Times New Roman" w:hAnsi="Times New Roman"/>
          <w:sz w:val="20"/>
        </w:rPr>
        <w:t>59. Sturgeon CM et al. NACB tumor marker guidelines. Clin Chem. 2008;54:e11-79.</w:t>
      </w:r>
    </w:p>
    <w:p>
      <w:pPr>
        <w:spacing w:after="40"/>
      </w:pPr>
      <w:r>
        <w:rPr>
          <w:rFonts w:ascii="Times New Roman" w:hAnsi="Times New Roman"/>
          <w:sz w:val="20"/>
        </w:rPr>
        <w:t>60. Sendak MP et al. ML translation into healthcare. EMJ Innov. 2020;10:19-00172.</w:t>
      </w:r>
    </w:p>
    <w:p>
      <w:pPr>
        <w:spacing w:after="40"/>
      </w:pPr>
      <w:r>
        <w:rPr>
          <w:rFonts w:ascii="Times New Roman" w:hAnsi="Times New Roman"/>
          <w:sz w:val="20"/>
        </w:rPr>
        <w:t>61. Wiens J et al. Responsible ML for health care. Nat Med. 2019;25:1337-1340.</w:t>
      </w:r>
    </w:p>
    <w:p>
      <w:pPr>
        <w:spacing w:after="40"/>
      </w:pPr>
      <w:r>
        <w:rPr>
          <w:rFonts w:ascii="Times New Roman" w:hAnsi="Times New Roman"/>
          <w:sz w:val="20"/>
        </w:rPr>
        <w:t>62. Engelen MJ et al. Surgery by gynecologic oncologists improves survival. Cancer. 2006;106:589-598.</w:t>
      </w:r>
    </w:p>
    <w:p>
      <w:pPr>
        <w:spacing w:after="40"/>
      </w:pPr>
      <w:r>
        <w:rPr>
          <w:rFonts w:ascii="Times New Roman" w:hAnsi="Times New Roman"/>
          <w:sz w:val="20"/>
        </w:rPr>
        <w:t>63. Peduzzi P et al. Events per variable in logistic regression. J Clin Epidemiol. 1996;49:1373-1379.</w:t>
      </w:r>
    </w:p>
    <w:p>
      <w:pPr>
        <w:spacing w:after="40"/>
      </w:pPr>
      <w:r>
        <w:rPr>
          <w:rFonts w:ascii="Times New Roman" w:hAnsi="Times New Roman"/>
          <w:sz w:val="20"/>
        </w:rPr>
        <w:t>64. [Dataset 1] Chinese Ovarian Cancer Dataset. Mendeley Data. DOI: 10.17632/th7fztbrv9.11.</w:t>
      </w:r>
    </w:p>
    <w:p>
      <w:pPr>
        <w:spacing w:after="40"/>
      </w:pPr>
      <w:r>
        <w:rPr>
          <w:rFonts w:ascii="Times New Roman" w:hAnsi="Times New Roman"/>
          <w:sz w:val="20"/>
        </w:rPr>
        <w:t>65. [Dataset 2] Comparative analysis of ovarian cancer and ovarian cyst patients. figshare. DOI: 10.6084/m9.figshare.28831256.</w:t>
      </w:r>
    </w:p>
    <w:p>
      <w:pPr>
        <w:spacing w:after="40"/>
      </w:pPr>
      <w:r>
        <w:rPr>
          <w:rFonts w:ascii="Times New Roman" w:hAnsi="Times New Roman"/>
          <w:sz w:val="20"/>
        </w:rPr>
        <w:t>66. [Dataset 3] Revised Cut-Off Value of HE4 as Ovarian Tumor Marker — Supplementary Material. Karger figshare. DOI: 10.6084/m9.figshare.24235450.</w:t>
      </w:r>
    </w:p>
    <w:p>
      <w:pPr>
        <w:pStyle w:val="Heading1"/>
        <w:jc w:val="left"/>
      </w:pPr>
      <w:r>
        <w:rPr>
          <w:rFonts w:ascii="Times New Roman" w:hAnsi="Times New Roman" w:eastAsia="Times New Roman"/>
          <w:sz w:val="28"/>
        </w:rPr>
        <w:t>Declarations</w:t>
      </w:r>
    </w:p>
    <w:p>
      <w:pPr>
        <w:pStyle w:val="Heading2"/>
        <w:jc w:val="left"/>
      </w:pPr>
      <w:r>
        <w:rPr>
          <w:rFonts w:ascii="Times New Roman" w:hAnsi="Times New Roman" w:eastAsia="Times New Roman"/>
          <w:sz w:val="26"/>
        </w:rPr>
        <w:t>Ethics approval and consent to participate</w:t>
      </w:r>
    </w:p>
    <w:p>
      <w:pPr>
        <w:spacing w:after="120"/>
      </w:pPr>
      <w:r>
        <w:rPr>
          <w:rFonts w:ascii="Times New Roman" w:hAnsi="Times New Roman" w:eastAsia="Times New Roman"/>
          <w:sz w:val="24"/>
        </w:rPr>
        <w:t>This study is a secondary analysis of three publicly available, de-identified datasets originally collected with institutional ethics approval as stated in the respective data publications [dataset 1-3]. No new patient enrollment was conducted. This analysis of de-identified open-access data was determined to be exempt from additional ethics review per institutional policy, consistent with the Declaration of Helsinki [48].</w:t>
      </w:r>
    </w:p>
    <w:p>
      <w:pPr>
        <w:pStyle w:val="Heading2"/>
        <w:jc w:val="left"/>
      </w:pPr>
      <w:r>
        <w:rPr>
          <w:rFonts w:ascii="Times New Roman" w:hAnsi="Times New Roman" w:eastAsia="Times New Roman"/>
          <w:sz w:val="26"/>
        </w:rPr>
        <w:t>Consent for publication</w:t>
      </w:r>
    </w:p>
    <w:p>
      <w:pPr>
        <w:spacing w:after="120"/>
      </w:pPr>
      <w:r>
        <w:rPr>
          <w:rFonts w:ascii="Times New Roman" w:hAnsi="Times New Roman" w:eastAsia="Times New Roman"/>
          <w:sz w:val="24"/>
        </w:rPr>
        <w:t>Not applicable. No individual patient data are presented.</w:t>
      </w:r>
    </w:p>
    <w:p>
      <w:pPr>
        <w:pStyle w:val="Heading2"/>
        <w:jc w:val="left"/>
      </w:pPr>
      <w:r>
        <w:rPr>
          <w:rFonts w:ascii="Times New Roman" w:hAnsi="Times New Roman" w:eastAsia="Times New Roman"/>
          <w:sz w:val="26"/>
        </w:rPr>
        <w:t>Availability of data and materials</w:t>
      </w:r>
    </w:p>
    <w:p>
      <w:pPr>
        <w:spacing w:after="120"/>
      </w:pPr>
      <w:r>
        <w:rPr>
          <w:rFonts w:ascii="Times New Roman" w:hAnsi="Times New Roman" w:eastAsia="Times New Roman"/>
          <w:sz w:val="24"/>
        </w:rPr>
        <w:t>All three datasets analyzed in this study are publicly available from the following repositories: (1) Chinese training cohort: Mendeley Data, DOI: 10.17632/th7fztbrv9.11; (2) West China validation cohort: figshare, DOI: 10.6084/m9.figshare.28831256; (3) Japanese validation cohort: Karger figshare, DOI: 10.6084/m9.figshare.24235450. The complete analysis pipeline, trained model weights, benchmark results, and reproducible figure-generation scripts are publicly available under the MIT License at https://github.com/angelayaoo/Ovarian-Cancer-RiskSLIM.</w:t>
      </w:r>
    </w:p>
    <w:p>
      <w:pPr>
        <w:pStyle w:val="Heading2"/>
        <w:jc w:val="left"/>
      </w:pPr>
      <w:r>
        <w:rPr>
          <w:rFonts w:ascii="Times New Roman" w:hAnsi="Times New Roman" w:eastAsia="Times New Roman"/>
          <w:sz w:val="26"/>
        </w:rPr>
        <w:t>Competing interests</w:t>
      </w:r>
    </w:p>
    <w:p>
      <w:pPr>
        <w:spacing w:after="120"/>
      </w:pPr>
      <w:r>
        <w:rPr>
          <w:rFonts w:ascii="Times New Roman" w:hAnsi="Times New Roman" w:eastAsia="Times New Roman"/>
          <w:sz w:val="24"/>
        </w:rPr>
        <w:t>The authors declare that they have no competing financial or non-financial interests.</w:t>
      </w:r>
    </w:p>
    <w:p>
      <w:pPr>
        <w:pStyle w:val="Heading2"/>
        <w:jc w:val="left"/>
      </w:pPr>
      <w:r>
        <w:rPr>
          <w:rFonts w:ascii="Times New Roman" w:hAnsi="Times New Roman" w:eastAsia="Times New Roman"/>
          <w:sz w:val="26"/>
        </w:rPr>
        <w:t>Funding</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Authors' contributions</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Acknowledgements</w:t>
      </w:r>
    </w:p>
    <w:p>
      <w:pPr>
        <w:spacing w:after="120"/>
      </w:pPr>
      <w:r>
        <w:rPr>
          <w:rFonts w:ascii="Times New Roman" w:hAnsi="Times New Roman" w:eastAsia="Times New Roman"/>
          <w:sz w:val="24"/>
        </w:rPr>
        <w:t>The authors gratefully acknowledge the original investigators who collected and publicly shared the three datasets used in this study, without whom this cross-cohort external validation would not have been possible.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