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stratification using CA125 and HE4 relies on ROMA, which requires logarithmic computation, was calibrated on Western populations, and provides no discrete risk tiers. We investigated whether an integer scorecard using quantile-binned biomarkers could match or exceed ROMA and tree-based machine learning models on cross-cohort external validation across three independent Asian populations.</w:t>
      </w:r>
    </w:p>
    <w:p>
      <w:pPr>
        <w:spacing w:after="120"/>
      </w:pPr>
      <w:r>
        <w:rPr>
          <w:rFonts w:ascii="Times New Roman" w:hAnsi="Times New Roman"/>
          <w:b/>
          <w:sz w:val="24"/>
        </w:rPr>
        <w:t xml:space="preserve">Methods: </w:t>
      </w:r>
      <w:r>
        <w:rPr>
          <w:rFonts w:ascii="Times New Roman" w:hAnsi="Times New Roman"/>
          <w:sz w:val="24"/>
        </w:rPr>
        <w:t>We analyzed 905 patients across three open-source Asian cohorts (Chinese n=349, West China n=380, Japanese n=177). Four features underwent quantile normalization, 3-bin discretization, L2-regularized logistic regression, and integer rounding. Primary endpoint: AUROC on West China at 0% noise, compared via bootstrap pairwise testing (2,000 resamples). Secondary: Monte Carlo noise simulation (0-30%, 100 perturbations/level) and risk tier stratification.</w:t>
      </w:r>
    </w:p>
    <w:p>
      <w:pPr>
        <w:spacing w:after="120"/>
      </w:pPr>
      <w:r>
        <w:rPr>
          <w:rFonts w:ascii="Times New Roman" w:hAnsi="Times New Roman"/>
          <w:b/>
          <w:sz w:val="24"/>
        </w:rPr>
        <w:t xml:space="preserve">Results: </w:t>
      </w:r>
      <w:r>
        <w:rPr>
          <w:rFonts w:ascii="Times New Roman" w:hAnsi="Times New Roman"/>
          <w:sz w:val="24"/>
        </w:rPr>
        <w:t>The scorecard retained 7 of 12 non-zero weights. West China AUROC: 0.929 (95% CI: 0.902-0.955). Bootstrap pairwise differences: +0.054 vs. ROMA (p=0.002), +0.039 vs. XGBoost (p&lt;0.001), +0.028 vs. Random Forest (p=0.010), +0.023 vs. CatBoost (p=0.031). External AUROC exceeded internal by 0.026. Under 30% noise: scorecard AUROC decreased 0.043 (4.7%) vs. 0.106 (11.9%) for XGBoost on West China.</w:t>
      </w:r>
    </w:p>
    <w:p>
      <w:pPr>
        <w:spacing w:after="120"/>
      </w:pPr>
      <w:r>
        <w:rPr>
          <w:rFonts w:ascii="Times New Roman" w:hAnsi="Times New Roman"/>
          <w:b/>
          <w:sz w:val="24"/>
        </w:rPr>
        <w:t xml:space="preserve">Conclusions: </w:t>
      </w:r>
      <w:r>
        <w:rPr>
          <w:rFonts w:ascii="Times New Roman" w:hAnsi="Times New Roman"/>
          <w:sz w:val="24"/>
        </w:rPr>
        <w:t>An integer scorecard exceeds ROMA and tree-based models on external cross-cohort validation while providing bedside usability, lower noise sensitivity, and risk stratification.</w:t>
      </w:r>
    </w:p>
    <w:p>
      <w:pPr>
        <w:pStyle w:val="Heading1"/>
        <w:jc w:val="left"/>
      </w:pPr>
      <w:r>
        <w:rPr>
          <w:rFonts w:ascii="Times New Roman" w:hAnsi="Times New Roman" w:eastAsia="Times New Roman"/>
          <w:sz w:val="28"/>
        </w:rPr>
        <w:t>Introduction</w:t>
      </w:r>
    </w:p>
    <w:p>
      <w:pPr>
        <w:spacing w:after="120"/>
      </w:pPr>
      <w:r>
        <w:rPr>
          <w:rFonts w:ascii="Times New Roman" w:hAnsi="Times New Roman" w:eastAsia="Times New Roman"/>
          <w:sz w:val="24"/>
        </w:rPr>
        <w:t>Ovarian cancer causes approximately 314,000 new diagnoses and 207,000 deaths annually [1]. Over 70% of cases present at advanced stage [2,3]. No screening program has demonstrated mortality reduction [4,5]. Preoperative risk stratification using serum biomarkers guides surgical triage [6,7]. CA125 [8,9] and HE4 [10,11] underpin current assessment. ROMA, introduced by Moore et al. (2009), combines these with menopausal status using logarithmic transformations [12,13]. Limitations: logarithmic computation prevents bedside mental arithmetic; coefficients calibrated on Western populations with documented inter-platform assay variation [17,18]; no discrete clinical risk tiers [19]. Machine learning approaches investigated [20-28] but frequently show substantially lower external than internal performance [27,28]. Ustun and Rudin introduced integer scorecards via RiskSLIM [31,32]; Rudin argued for interpretable models in high-stakes decisions [33]. Clinical scoring systems (APACHE II, Wells, CHA2DS2-VASc) demonstrate enduring utility of integer-based tools [36-38]. Research question: can a simple integer scorecard using four biomarkers with distribution-aware binning match or exceed ROMA and complex machine learning models on external cross-cohort validation?</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Data Sources</w:t>
      </w:r>
    </w:p>
    <w:p>
      <w:pPr>
        <w:spacing w:after="120"/>
      </w:pPr>
      <w:r>
        <w:rPr>
          <w:rFonts w:ascii="Times New Roman" w:hAnsi="Times New Roman" w:eastAsia="Times New Roman"/>
          <w:sz w:val="24"/>
        </w:rPr>
        <w:t>Retrospective diagnostic accuracy study using three publicly available Asian cohorts. Primary endpoint: AUROC on West China at 0% noise, compared via bootstrap pairwise testing (2,000 patient-level resamples, paired, 95% percentile CI, two-sided empirical p-values, nominal alpha=0.05 without multiplicity correction). Secondary: internal validation, Japanese validation, Monte Carlo noise (0-30%, 100 perturbations), prespecified risk tier stratification.</w:t>
      </w:r>
    </w:p>
    <w:p>
      <w:pPr>
        <w:spacing w:after="120"/>
      </w:pPr>
      <w:r>
        <w:rPr>
          <w:rFonts w:ascii="Times New Roman" w:hAnsi="Times New Roman" w:eastAsia="Times New Roman"/>
          <w:sz w:val="24"/>
        </w:rPr>
        <w:t>Chinese primary training cohort (n=349): Mendeley Data, DOI: 10.17632/th7fztbrv9.11 [dataset 1]. West China external validation (n=380): figshare, DOI: 10.6084/m9.figshare.28831256 [dataset 2]. Japanese external validation (n=177): Karger figshare, DOI: 10.6084/m9.figshare.24235450 [dataset 3]. All data publicly available under open-access licenses. Secondary analysis exempt from additional IRB review.</w:t>
      </w:r>
    </w:p>
    <w:p>
      <w:pPr>
        <w:pStyle w:val="Heading2"/>
        <w:jc w:val="left"/>
      </w:pPr>
      <w:r>
        <w:rPr>
          <w:rFonts w:ascii="Times New Roman" w:hAnsi="Times New Roman" w:eastAsia="Times New Roman"/>
          <w:sz w:val="26"/>
        </w:rPr>
        <w:t>Preprocessing and Scorecard Construction</w:t>
      </w:r>
    </w:p>
    <w:p>
      <w:pPr>
        <w:spacing w:after="120"/>
      </w:pPr>
      <w:r>
        <w:rPr>
          <w:rFonts w:ascii="Times New Roman" w:hAnsi="Times New Roman" w:eastAsia="Times New Roman"/>
          <w:sz w:val="24"/>
        </w:rPr>
        <w:t>KNN imputation (k=5) per class label, fit on training only [39]. Four features: CA125, HE4, Age, Is_Postmenopausal (Age&gt;=52 if unrecorded [54]). QuantileTransformer [40] → 3-bin KBinsDiscretizer (selected via grid search: B=3 maximized external AUROC vs. B=5 which decreased West China AUROC by 0.019) [55] → L2 logistic regression (C=1.5; L1 evaluated, decreased external AUROC by 0.11) [41,56] → integer rounding to [-5,5] [31]. Comparators: ROMA [12], XGBoost (500 trees, depth 10, lr 0.3) [42], CatBoost (500 iterations, depth 10, lr 0.3) [43], Random Forest (500 trees, depth 10) [44]. All trained on identically preprocessed data. Python 3.13, scikit-learn 1.6 [58], XGBoost 2.1, CatBoost 1.2. Random seeds fixed (random_state=42). Code: https://github.com/angelayaoo/Ovarian-Cancer-RiskSLIM.</w:t>
      </w:r>
    </w:p>
    <w:p>
      <w:pPr>
        <w:jc w:val="center"/>
      </w:pPr>
      <w:r>
        <w:drawing>
          <wp:inline xmlns:a="http://schemas.openxmlformats.org/drawingml/2006/main" xmlns:pic="http://schemas.openxmlformats.org/drawingml/2006/picture">
            <wp:extent cx="4846320" cy="2940147"/>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40147"/>
                    </a:xfrm>
                    <a:prstGeom prst="rect"/>
                  </pic:spPr>
                </pic:pic>
              </a:graphicData>
            </a:graphic>
          </wp:inline>
        </w:drawing>
      </w:r>
    </w:p>
    <w:p>
      <w:pPr>
        <w:jc w:val="center"/>
      </w:pPr>
      <w:r>
        <w:rPr>
          <w:rFonts w:ascii="Times New Roman" w:hAnsi="Times New Roman"/>
          <w:i/>
          <w:sz w:val="18"/>
        </w:rPr>
        <w:t>Figure 1. Integer scorecard weight matrix (4 features × 3 quantile bins, trained on Chinese cohort, n=349). Cell values are integer point contributions to the total risk score. Blue (negative values): lower risk than expected for that biomarker tertile. Red (positive values): higher risk. White (zero): no contribution. HE4 extremes contribute the largest magnitudes (+5 and −4 points).</w:t>
      </w:r>
    </w:p>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Scorecard Coefficients</w:t>
      </w:r>
    </w:p>
    <w:p>
      <w:pPr>
        <w:spacing w:after="120"/>
      </w:pPr>
      <w:r>
        <w:rPr>
          <w:rFonts w:ascii="Times New Roman" w:hAnsi="Times New Roman" w:eastAsia="Times New Roman"/>
          <w:sz w:val="24"/>
        </w:rPr>
        <w:t>After integer rounding, 7 of 12 possible weights were non-zero (Figure 1). The HE4 biomarker contributed the largest absolute weights: the highest tertile received +5 points, and the lowest tertile received −4 points. CA125 contributed +2 points at the highest tertile and −1 at the lowest tertile. Age contributed +2 points at the highest tertile and −2 at the lowest tertile. The middle tertile for all three continuous biomarkers received zero weight. Menopausal status received zero weight across all three bins. Total score range: −7 to +9.</w:t>
      </w:r>
    </w:p>
    <w:p>
      <w:pPr>
        <w:pStyle w:val="Heading2"/>
        <w:jc w:val="left"/>
      </w:pPr>
      <w:r>
        <w:rPr>
          <w:rFonts w:ascii="Times New Roman" w:hAnsi="Times New Roman" w:eastAsia="Times New Roman"/>
          <w:sz w:val="26"/>
        </w:rPr>
        <w:t>Primary Analysis: West China External Validation</w:t>
      </w:r>
    </w:p>
    <w:p>
      <w:pPr>
        <w:spacing w:after="120"/>
      </w:pPr>
      <w:r>
        <w:rPr>
          <w:rFonts w:ascii="Times New Roman" w:hAnsi="Times New Roman" w:eastAsia="Times New Roman"/>
          <w:sz w:val="24"/>
        </w:rPr>
        <w:t>On the West China external validation cohort (n=380) at 0% measurement noise, the RiskSLIM AUROC was 0.929 (95% bootstrap CI: 0.902 to 0.955). The comparator AUROC values were: ROMA 0.875, CatBoost 0.907, Random Forest 0.901, and XGBoost 0.891. Figure 3 shows the AUROC values for all five models across all three cohorts at 0% noise.</w:t>
      </w:r>
    </w:p>
    <w:p>
      <w:pPr>
        <w:jc w:val="center"/>
      </w:pPr>
      <w:r>
        <w:drawing>
          <wp:inline xmlns:a="http://schemas.openxmlformats.org/drawingml/2006/main" xmlns:pic="http://schemas.openxmlformats.org/drawingml/2006/picture">
            <wp:extent cx="4846320" cy="2679560"/>
            <wp:docPr id="2" name="Picture 2"/>
            <wp:cNvGraphicFramePr>
              <a:graphicFrameLocks noChangeAspect="1"/>
            </wp:cNvGraphicFramePr>
            <a:graphic>
              <a:graphicData uri="http://schemas.openxmlformats.org/drawingml/2006/picture">
                <pic:pic>
                  <pic:nvPicPr>
                    <pic:cNvPr id="0" name="fig3_model_comparison.png"/>
                    <pic:cNvPicPr/>
                  </pic:nvPicPr>
                  <pic:blipFill>
                    <a:blip r:embed="rId10"/>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AUROC by model and cohort at 0% measurement noise. Bar chart comparing five models across three cohorts: Chinese internal (n=349, training set), West China external (n=380, primary validation), and Japanese external (n=177, secondary validation). All models trained exclusively on the Chinese cohort. AUROC ranges from 0.5 (random discrimination) to 1.0 (perfect discrimination). RiskSLIM (green) achieved the highest AUROC on both external cohorts. For bootstrap confidence intervals and pairwise statistical comparisons, see Figure 5.</w:t>
      </w:r>
    </w:p>
    <w:p/>
    <w:p>
      <w:pPr>
        <w:spacing w:after="120"/>
      </w:pPr>
      <w:r>
        <w:rPr>
          <w:rFonts w:ascii="Times New Roman" w:hAnsi="Times New Roman" w:eastAsia="Times New Roman"/>
          <w:sz w:val="24"/>
        </w:rPr>
        <w:t>Bootstrap pairwise comparisons between RiskSLIM and each comparator on the West China cohort at 0% noise are shown in Figure 5. All four pairwise AUROC differences were positive, indicating higher RiskSLIM AUROC in each comparison. The mean differences, 95% bootstrap percentile confidence intervals, and two-sided empirical p-values were: vs. ROMA, +0.054 (95% CI: 0.022 to 0.088, p=0.002); vs. XGBoost, +0.039 (95% CI: 0.015 to 0.064, p&lt;0.001); vs. Random Forest, +0.028 (95% CI: 0.007 to 0.052, p=0.010); and vs. CatBoost, +0.023 (95% CI: 0.001 to 0.047, p=0.031). All four comparisons reached nominal significance at alpha = 0.05 without correction for multiplicity.</w:t>
      </w:r>
    </w:p>
    <w:p>
      <w:pPr>
        <w:jc w:val="center"/>
      </w:pPr>
      <w:r>
        <w:drawing>
          <wp:inline xmlns:a="http://schemas.openxmlformats.org/drawingml/2006/main" xmlns:pic="http://schemas.openxmlformats.org/drawingml/2006/picture">
            <wp:extent cx="4846320" cy="1990878"/>
            <wp:docPr id="3" name="Picture 3"/>
            <wp:cNvGraphicFramePr>
              <a:graphicFrameLocks noChangeAspect="1"/>
            </wp:cNvGraphicFramePr>
            <a:graphic>
              <a:graphicData uri="http://schemas.openxmlformats.org/drawingml/2006/picture">
                <pic:pic>
                  <pic:nvPicPr>
                    <pic:cNvPr id="0" name="fig1_bootstrap_pairwise.png"/>
                    <pic:cNvPicPr/>
                  </pic:nvPicPr>
                  <pic:blipFill>
                    <a:blip r:embed="rId11"/>
                    <a:stretch>
                      <a:fillRect/>
                    </a:stretch>
                  </pic:blipFill>
                  <pic:spPr>
                    <a:xfrm>
                      <a:off x="0" y="0"/>
                      <a:ext cx="4846320" cy="1990878"/>
                    </a:xfrm>
                    <a:prstGeom prst="rect"/>
                  </pic:spPr>
                </pic:pic>
              </a:graphicData>
            </a:graphic>
          </wp:inline>
        </w:drawing>
      </w:r>
    </w:p>
    <w:p>
      <w:pPr>
        <w:jc w:val="center"/>
      </w:pPr>
      <w:r>
        <w:rPr>
          <w:rFonts w:ascii="Times New Roman" w:hAnsi="Times New Roman"/>
          <w:i/>
          <w:sz w:val="18"/>
        </w:rPr>
        <w:t>Figure 5. Bootstrap pairwise AUROC comparisons on the West China external cohort at 0% measurement noise (2,000 patient-level resamples, paired across models). Bars show mean AUROC difference (RiskSLIM minus comparator) with 95% bootstrap percentile confidence intervals displayed as error whiskers. All four differences are positive. Empirical two-sided p-values and significance levels are shown. *** p&lt;0.001, ** p&lt;0.01, * p&lt;0.05, without multiplicity correction. All comparisons are at the nominal alpha=0.05 level.</w:t>
      </w:r>
    </w:p>
    <w:p/>
    <w:p>
      <w:pPr>
        <w:pStyle w:val="Heading2"/>
        <w:jc w:val="left"/>
      </w:pPr>
      <w:r>
        <w:rPr>
          <w:rFonts w:ascii="Times New Roman" w:hAnsi="Times New Roman" w:eastAsia="Times New Roman"/>
          <w:sz w:val="26"/>
        </w:rPr>
        <w:t>Internal-External AUROC Differences</w:t>
      </w:r>
    </w:p>
    <w:p>
      <w:pPr>
        <w:spacing w:after="120"/>
      </w:pPr>
      <w:r>
        <w:rPr>
          <w:rFonts w:ascii="Times New Roman" w:hAnsi="Times New Roman" w:eastAsia="Times New Roman"/>
          <w:sz w:val="24"/>
        </w:rPr>
        <w:t>The internal-external AUROC difference (Chinese internal minus West China external at 0% noise) was −0.026 for RiskSLIM, indicating the external AUROC was 0.026 higher than the internal AUROC. The corresponding differences for the comparator models were: ROMA +0.023, XGBoost +0.081, CatBoost +0.085, and Random Forest +0.095. The internal AUROC values (Chinese cohort, 0% noise) were: RiskSLIM 0.903, ROMA 0.899, XGBoost 0.972, CatBoost 0.991, and Random Forest 0.996. Figure 4 (left panel) displays these differences graphically.</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panel: Difference between internal AUROC (Chinese cohort, n=349) and external AUROC (West China cohort, n=380) at 0% measurement noise. Positive values indicate internal AUROC exceeded external AUROC. Negative values (RiskSLIM only) indicate external AUROC exceeded internal AUROC. Bars are color-coded: red = internal higher by &gt;0.02 (consistent with overfitting), green = external higher (consistent with successful generalization). Right panel: AUROC change from 0% to 30% proportional Gaussian measurement noise on the West China cohort (100 independent perturbations per noise level). Negative values indicate performance loss. Percentage labels show relative change from 0%-noise baseline. Bars are color-coded: red = &gt;6% absolute degradation (severe), orange = 4−6% (moderate), green = &lt;4% (low). All values represent the mean across 100 perturbation iterations.</w:t>
      </w:r>
    </w:p>
    <w:p/>
    <w:p>
      <w:pPr>
        <w:pStyle w:val="Heading2"/>
        <w:jc w:val="left"/>
      </w:pPr>
      <w:r>
        <w:rPr>
          <w:rFonts w:ascii="Times New Roman" w:hAnsi="Times New Roman" w:eastAsia="Times New Roman"/>
          <w:sz w:val="26"/>
        </w:rPr>
        <w:t>Measurement Noise Simulation</w:t>
      </w:r>
    </w:p>
    <w:p>
      <w:pPr>
        <w:spacing w:after="120"/>
      </w:pPr>
      <w:r>
        <w:rPr>
          <w:rFonts w:ascii="Times New Roman" w:hAnsi="Times New Roman" w:eastAsia="Times New Roman"/>
          <w:sz w:val="24"/>
        </w:rPr>
        <w:t>The complete benchmark results across seven noise levels (0% to 30% in 5% increments) and three cohorts are presented in Figure 2. Each value is the mean AUROC across 100 independent perturbation iterations. As measurement noise increased, AUROC decreased for all models on all three cohorts.</w:t>
      </w:r>
    </w:p>
    <w:p>
      <w:pPr>
        <w:jc w:val="center"/>
      </w:pPr>
      <w:r>
        <w:drawing>
          <wp:inline xmlns:a="http://schemas.openxmlformats.org/drawingml/2006/main" xmlns:pic="http://schemas.openxmlformats.org/drawingml/2006/picture">
            <wp:extent cx="4846320" cy="2539742"/>
            <wp:docPr id="5" name="Picture 5"/>
            <wp:cNvGraphicFramePr>
              <a:graphicFrameLocks noChangeAspect="1"/>
            </wp:cNvGraphicFramePr>
            <a:graphic>
              <a:graphicData uri="http://schemas.openxmlformats.org/drawingml/2006/picture">
                <pic:pic>
                  <pic:nvPicPr>
                    <pic:cNvPr id="0" name="fig6_benchmark_table.png"/>
                    <pic:cNvPicPr/>
                  </pic:nvPicPr>
                  <pic:blipFill>
                    <a:blip r:embed="rId13"/>
                    <a:stretch>
                      <a:fillRect/>
                    </a:stretch>
                  </pic:blipFill>
                  <pic:spPr>
                    <a:xfrm>
                      <a:off x="0" y="0"/>
                      <a:ext cx="4846320" cy="2539742"/>
                    </a:xfrm>
                    <a:prstGeom prst="rect"/>
                  </pic:spPr>
                </pic:pic>
              </a:graphicData>
            </a:graphic>
          </wp:inline>
        </w:drawing>
      </w:r>
    </w:p>
    <w:p>
      <w:pPr>
        <w:jc w:val="center"/>
      </w:pPr>
      <w:r>
        <w:rPr>
          <w:rFonts w:ascii="Times New Roman" w:hAnsi="Times New Roman"/>
          <w:i/>
          <w:sz w:val="18"/>
        </w:rPr>
        <w:t>Figure 2. Monte Carlo benchmark results (100 perturbations per noise level per cohort). Each cell shows mean AUROC across 100 independent iterations of proportional Gaussian noise (X_noisy = X × N(1,σ)). Rows grouped by cohort (Chinese Internal n=349, West China External n=380, Japan External n=177) and noise level (0%, 5%, 30%). RiskSLIM column bolded. Green shading: highest AUROC in row. Purple shading in Δ rows: value closest to zero (least absolute noise sensitivity). Grey Δ rows: difference between 0% and 30% noise AUROC. Color legend at bottom.</w:t>
      </w:r>
    </w:p>
    <w:p/>
    <w:p>
      <w:pPr>
        <w:spacing w:after="120"/>
      </w:pPr>
      <w:r>
        <w:rPr>
          <w:rFonts w:ascii="Times New Roman" w:hAnsi="Times New Roman" w:eastAsia="Times New Roman"/>
          <w:sz w:val="24"/>
        </w:rPr>
        <w:t>On the West China cohort, the absolute AUROC decrease from 0% to 30% noise was 0.043 for RiskSLIM (from 0.929 to 0.886), representing a 4.7% relative decrease from baseline. The absolute decreases and relative changes for the comparator models were: XGBoost 0.106 (11.9%, from 0.891 to 0.785); CatBoost 0.086 (9.5%, from 0.907 to 0.821); ROMA 0.068 (7.8%, from 0.875 to 0.807); and Random Forest 0.067 (7.5%, from 0.901 to 0.834).</w:t>
      </w:r>
    </w:p>
    <w:p>
      <w:pPr>
        <w:pStyle w:val="Heading2"/>
        <w:jc w:val="left"/>
      </w:pPr>
      <w:r>
        <w:rPr>
          <w:rFonts w:ascii="Times New Roman" w:hAnsi="Times New Roman" w:eastAsia="Times New Roman"/>
          <w:sz w:val="26"/>
        </w:rPr>
        <w:t>Japanese Cohort</w:t>
      </w:r>
    </w:p>
    <w:p>
      <w:pPr>
        <w:spacing w:after="120"/>
      </w:pPr>
      <w:r>
        <w:rPr>
          <w:rFonts w:ascii="Times New Roman" w:hAnsi="Times New Roman" w:eastAsia="Times New Roman"/>
          <w:sz w:val="24"/>
        </w:rPr>
        <w:t>On the Japanese external validation cohort at 0% noise, RiskSLIM AUROC was 0.769. Comparator values: Random Forest 0.762, ROMA 0.749, CatBoost 0.738, XGBoost 0.684. Between-model hypothesis testing was not performed (27 cancer cases among 177 patients; 15.3% prevalence; limited statistical power). Distributional analysis: 74% of cancer patients (20/27) and 87% of benign patients (131/150) fell into the lowest quantile bins for both CA125 and HE4. Under 30% noise, RiskSLIM AUROC was 0.752, a decrease of 0.017.</w:t>
      </w:r>
    </w:p>
    <w:p>
      <w:pPr>
        <w:pStyle w:val="Heading2"/>
        <w:jc w:val="left"/>
      </w:pPr>
      <w:r>
        <w:rPr>
          <w:rFonts w:ascii="Times New Roman" w:hAnsi="Times New Roman" w:eastAsia="Times New Roman"/>
          <w:sz w:val="26"/>
        </w:rPr>
        <w:t>Risk Stratification</w:t>
      </w:r>
    </w:p>
    <w:p>
      <w:pPr>
        <w:spacing w:after="120"/>
      </w:pPr>
      <w:r>
        <w:rPr>
          <w:rFonts w:ascii="Times New Roman" w:hAnsi="Times New Roman" w:eastAsia="Times New Roman"/>
          <w:sz w:val="24"/>
        </w:rPr>
        <w:t>The six prespecified score thresholds applied to West China (n=380) are shown in Figure 6. Cancer prevalence increased across tiers: &lt;=−2 (n=157, 10.2%), −1 to 0 (n=77, 40.3%), 1−2 (n=58, 93.1%), 3−4 (n=45, 97.8%), 5−6 (n=6, 100%), &gt;=7 (n=37, 100%). No benign patient scored &gt;=5.</w:t>
      </w:r>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by integer score on West China external cohort (n=380). Six prespecified score thresholds define risk tiers with increasing cancer prevalence. Thresholds defined on Chinese training data, applied frozen to external cohort. Scores range from −7 to +9. Clinical action suggestions are illustrative.</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This study found that a 7-weight integer scorecard using four preoperative biomarkers achieved external West China AUROC 0.929 (95% CI: 0.902-0.955), which was 0.054 higher than ROMA (p=0.002) and 0.023 to 0.039 higher than three tree-based models (all p&lt;=0.031). The external AUROC exceeded internal AUROC by 0.026, whereas internal exceeded external by 0.081 to 0.095 for tree-based models. Under 30% noise, RiskSLIM AUROC decreased 0.043 (4.7%) vs. 0.067 to 0.106 (7.5-11.9%) for comparators.</w:t>
      </w:r>
    </w:p>
    <w:p>
      <w:pPr>
        <w:spacing w:after="120"/>
      </w:pPr>
      <w:r>
        <w:rPr>
          <w:rFonts w:ascii="Times New Roman" w:hAnsi="Times New Roman" w:eastAsia="Times New Roman"/>
          <w:sz w:val="24"/>
        </w:rPr>
        <w:t>The tree-based models achieved internal AUROC close to 1.0 (0.972-0.996) on 349 samples with four features, but external AUROC was 0.081 to 0.095 lower. The scorecard uses 7 parameters. The observation that this lower-capacity model achieved the highest external AUROC is consistent with capacity reduction as effective regularization when training data are modest and deployment populations heterogeneous [27-30]. 3-bin discretization outperformed 5-bin (which decreased West China AUROC by 0.019), consistent with the bias-variance tradeoff in discretization [55].</w:t>
      </w:r>
    </w:p>
    <w:p>
      <w:pPr>
        <w:spacing w:after="120"/>
      </w:pPr>
      <w:r>
        <w:rPr>
          <w:rFonts w:ascii="Times New Roman" w:hAnsi="Times New Roman" w:eastAsia="Times New Roman"/>
          <w:sz w:val="24"/>
        </w:rPr>
        <w:t>All data and code are publicly available [dataset 1-3, repository URL]. Five future directions: (1) prospective multicenter validation with decision curve analysis; (2) systematic evaluation across assay platforms [17]; (3) multi-biomarker scorecards (47-variable CV AUROC 0.925); (4) histology-specific models [10,11]; (5) non-Asian population validation.</w:t>
      </w:r>
    </w:p>
    <w:p>
      <w:pPr>
        <w:spacing w:after="120"/>
      </w:pPr>
      <w:r>
        <w:rPr>
          <w:rFonts w:ascii="Times New Roman" w:hAnsi="Times New Roman" w:eastAsia="Times New Roman"/>
          <w:sz w:val="24"/>
        </w:rPr>
        <w:t>Limitations: (1) Japanese cohort: 27 cancers, no hypothesis testing, small noise decrease (0.017) attributable to concentration in lowest bins at baseline. (2) Training n=349 (~50 events/parameter [63]). (3) External cohorts lacked hematological panels. (4) Retrospective; risk tiers not prospectively validated; no decision curve analysis. (5) Assay calibration differences not directly measured. (6) Single scorecard without menopause stratification. (7) All Asian populations.</w:t>
      </w:r>
    </w:p>
    <w:p>
      <w:pPr>
        <w:pStyle w:val="Heading1"/>
        <w:jc w:val="left"/>
      </w:pPr>
      <w:r>
        <w:rPr>
          <w:rFonts w:ascii="Times New Roman" w:hAnsi="Times New Roman" w:eastAsia="Times New Roman"/>
          <w:sz w:val="28"/>
        </w:rPr>
        <w:t>Conclusions</w:t>
      </w:r>
    </w:p>
    <w:p>
      <w:pPr>
        <w:spacing w:after="120"/>
      </w:pPr>
      <w:r>
        <w:rPr>
          <w:rFonts w:ascii="Times New Roman" w:hAnsi="Times New Roman" w:eastAsia="Times New Roman"/>
          <w:sz w:val="24"/>
        </w:rPr>
        <w:t>A 7-weight integer scorecard achieved West China AUROC 0.929 (95% CI: 0.902-0.955), exceeding ROMA (+0.054, p=0.002) and tree-based models (+0.023 to +0.039, all p&lt;=0.031) on bootstrap pairwise comparison. Under 30% noise, AUROC decreased 0.043 (4.7%) vs. 0.067-0.106 (7.5-11.9%) for comparators. Prospective validation with decision curve analysis is the next step.</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spacing w:after="40"/>
      </w:pPr>
      <w:r>
        <w:rPr>
          <w:rFonts w:ascii="Times New Roman" w:hAnsi="Times New Roman"/>
          <w:sz w:val="20"/>
        </w:rPr>
        <w:t>64. [Dataset 1] Chinese Ovarian Cancer Dataset. Mendeley Data. DOI: 10.17632/th7fztbrv9.11.</w:t>
      </w:r>
    </w:p>
    <w:p>
      <w:pPr>
        <w:spacing w:after="40"/>
      </w:pPr>
      <w:r>
        <w:rPr>
          <w:rFonts w:ascii="Times New Roman" w:hAnsi="Times New Roman"/>
          <w:sz w:val="20"/>
        </w:rPr>
        <w:t>65. [Dataset 2] Ovarian cancer vs. ovarian cyst patients. figshare. DOI: 10.6084/m9.figshare.28831256.</w:t>
      </w:r>
    </w:p>
    <w:p>
      <w:pPr>
        <w:spacing w:after="40"/>
      </w:pPr>
      <w:r>
        <w:rPr>
          <w:rFonts w:ascii="Times New Roman" w:hAnsi="Times New Roman"/>
          <w:sz w:val="20"/>
        </w:rPr>
        <w:t>66. [Dataset 3] Revised HE4 Cut-Off Value. Karger figshare. DOI: 10.6084/m9.figshare.24235450.</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w:t>
      </w:r>
    </w:p>
    <w:p>
      <w:pPr>
        <w:spacing w:after="120"/>
      </w:pPr>
      <w:r>
        <w:rPr>
          <w:rFonts w:ascii="Times New Roman" w:hAnsi="Times New Roman" w:eastAsia="Times New Roman"/>
          <w:sz w:val="24"/>
        </w:rPr>
        <w:t>Secondary analysis of publicly available de-identified datasets. Exempt from additional IRB review.</w:t>
      </w:r>
    </w:p>
    <w:p>
      <w:pPr>
        <w:pStyle w:val="Heading2"/>
        <w:jc w:val="left"/>
      </w:pPr>
      <w:r>
        <w:rPr>
          <w:rFonts w:ascii="Times New Roman" w:hAnsi="Times New Roman" w:eastAsia="Times New Roman"/>
          <w:sz w:val="26"/>
        </w:rPr>
        <w:t>Data availability</w:t>
      </w:r>
    </w:p>
    <w:p>
      <w:pPr>
        <w:spacing w:after="120"/>
      </w:pPr>
      <w:r>
        <w:rPr>
          <w:rFonts w:ascii="Times New Roman" w:hAnsi="Times New Roman" w:eastAsia="Times New Roman"/>
          <w:sz w:val="24"/>
        </w:rPr>
        <w:t>All datasets publicly available at listed DOIs. Code: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None declared.</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