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An Integer Scorecard for Ovarian Cancer Risk Prediction: Cross-Cohort External Validation Against ROMA and Machine Learning Models in Three Asian Populations</w:t>
      </w:r>
    </w:p>
    <w:p>
      <w:pPr>
        <w:pStyle w:val="Heading1"/>
        <w:jc w:val="left"/>
      </w:pPr>
      <w:r>
        <w:rPr>
          <w:rFonts w:ascii="Times New Roman" w:hAnsi="Times New Roman" w:eastAsia="Times New Roman"/>
          <w:sz w:val="28"/>
        </w:rPr>
        <w:t>Abstract</w:t>
      </w:r>
    </w:p>
    <w:p>
      <w:pPr>
        <w:spacing w:after="120"/>
      </w:pPr>
      <w:r>
        <w:rPr>
          <w:rFonts w:ascii="Times New Roman" w:hAnsi="Times New Roman"/>
          <w:b/>
          <w:sz w:val="24"/>
        </w:rPr>
        <w:t xml:space="preserve">Background: </w:t>
      </w:r>
      <w:r>
        <w:rPr>
          <w:rFonts w:ascii="Times New Roman" w:hAnsi="Times New Roman"/>
          <w:sz w:val="24"/>
        </w:rPr>
        <w:t>Ovarian cancer risk stratification using CA125 and HE4 relies on ROMA, which requires logarithmic computation, was calibrated on Western populations, and provides no discrete risk tiers. We investigated whether an integer scorecard using quantile-binned biomarkers could match or exceed ROMA and tree-based machine learning models on cross-cohort external validation across three independent Asian populations.</w:t>
      </w:r>
    </w:p>
    <w:p>
      <w:pPr>
        <w:spacing w:after="120"/>
      </w:pPr>
      <w:r>
        <w:rPr>
          <w:rFonts w:ascii="Times New Roman" w:hAnsi="Times New Roman"/>
          <w:b/>
          <w:sz w:val="24"/>
        </w:rPr>
        <w:t xml:space="preserve">Methods: </w:t>
      </w:r>
      <w:r>
        <w:rPr>
          <w:rFonts w:ascii="Times New Roman" w:hAnsi="Times New Roman"/>
          <w:sz w:val="24"/>
        </w:rPr>
        <w:t>We analyzed 905 patients across three open-source Asian cohorts. Four features (CA125, HE4, Age, Menopausal status) underwent quantile normalization, 3-bin discretization, L2-regularized logistic regression, and integer rounding to [-5,5]. The primary endpoint was AUROC on the West China external validation cohort, compared via bootstrap pairwise testing (2,000 resamples). Secondary analyses included Monte Carlo noise simulation (0-30%) and risk tier stratification.</w:t>
      </w:r>
    </w:p>
    <w:p>
      <w:pPr>
        <w:spacing w:after="120"/>
      </w:pPr>
      <w:r>
        <w:rPr>
          <w:rFonts w:ascii="Times New Roman" w:hAnsi="Times New Roman"/>
          <w:b/>
          <w:sz w:val="24"/>
        </w:rPr>
        <w:t xml:space="preserve">Results: </w:t>
      </w:r>
      <w:r>
        <w:rPr>
          <w:rFonts w:ascii="Times New Roman" w:hAnsi="Times New Roman"/>
          <w:sz w:val="24"/>
        </w:rPr>
        <w:t>The scorecard retained 7 of 12 non-zero integer weights. On the West China external cohort, AUROC was 0.929 (95% CI: 0.902-0.955). Bootstrap comparisons yielded AUROC differences of +0.054 vs. ROMA (p=0.002), +0.039 vs. XGBoost (p&lt;0.001), +0.028 vs. Random Forest (p=0.010), and +0.023 vs. CatBoost (p=0.031). The external West China AUROC exceeded the internal Chinese AUROC (0.903) by 0.026. Under 30% measurement noise on West China, AUROC decreased by 0.043 (4.7%) for the scorecard, compared with 0.106 (11.9%) for XGBoost. On the Japanese cohort (n=177, 27 cancers), the scorecard AUROC was 0.769.</w:t>
      </w:r>
    </w:p>
    <w:p>
      <w:pPr>
        <w:spacing w:after="120"/>
      </w:pPr>
      <w:r>
        <w:rPr>
          <w:rFonts w:ascii="Times New Roman" w:hAnsi="Times New Roman"/>
          <w:b/>
          <w:sz w:val="24"/>
        </w:rPr>
        <w:t xml:space="preserve">Conclusions: </w:t>
      </w:r>
      <w:r>
        <w:rPr>
          <w:rFonts w:ascii="Times New Roman" w:hAnsi="Times New Roman"/>
          <w:sz w:val="24"/>
        </w:rPr>
        <w:t>An integer scorecard using four biomarkers exceeds ROMA and tree-based models on external cross-cohort validation while providing bedside usability, lower noise sensitivity, and clinically actionable risk stratification.</w:t>
      </w:r>
    </w:p>
    <w:p>
      <w:pPr>
        <w:pStyle w:val="Heading1"/>
        <w:jc w:val="left"/>
      </w:pPr>
      <w:r>
        <w:rPr>
          <w:rFonts w:ascii="Times New Roman" w:hAnsi="Times New Roman" w:eastAsia="Times New Roman"/>
          <w:sz w:val="28"/>
        </w:rPr>
        <w:t>Background</w:t>
      </w:r>
    </w:p>
    <w:p>
      <w:pPr>
        <w:spacing w:after="120"/>
      </w:pPr>
      <w:r>
        <w:rPr>
          <w:rFonts w:ascii="Times New Roman" w:hAnsi="Times New Roman" w:eastAsia="Times New Roman"/>
          <w:sz w:val="24"/>
        </w:rPr>
        <w:t>Ovarian cancer causes approximately 314,000 new diagnoses and 207,000 deaths annually [1]. Over 70% of cases present at advanced stage [2,3]. No screening program has demonstrated mortality reduction [4,5]. Preoperative risk stratification using serum biomarkers guides surgical triage [6,7]. CA125 [8,9] and HE4 [10,11] form the basis of current assessment. ROMA, introduced by Moore et al. (2009), combines these with menopausal status [12,13]. Limitations include: logarithmic computation impractical at the bedside; coefficients calibrated on Western populations [17,18]; and no discrete risk tiers [19]. Machine learning approaches have been investigated [20-28] but frequently overfit [27,28]. RiskSLIM introduced integer scorecards [31,32]; Rudin argued for interpretable models [33]; clinical scoring systems demonstrate enduring utility [36-38].</w:t>
      </w:r>
    </w:p>
    <w:p>
      <w:pPr>
        <w:spacing w:after="120"/>
      </w:pPr>
      <w:r>
        <w:rPr>
          <w:rFonts w:ascii="Times New Roman" w:hAnsi="Times New Roman" w:eastAsia="Times New Roman"/>
          <w:sz w:val="24"/>
        </w:rPr>
        <w:t>Research question: can a simple integer scorecard — using four biomarkers with distribution-aware binning — match or exceed ROMA and complex machine learning models on external cross-cohort validation, while providing clinically meaningful risk stratification and robustness to laboratory measurement noise?</w:t>
      </w:r>
    </w:p>
    <w:p>
      <w:pPr>
        <w:pStyle w:val="Heading1"/>
        <w:jc w:val="left"/>
      </w:pPr>
      <w:r>
        <w:rPr>
          <w:rFonts w:ascii="Times New Roman" w:hAnsi="Times New Roman" w:eastAsia="Times New Roman"/>
          <w:sz w:val="28"/>
        </w:rPr>
        <w:t>Methods</w:t>
      </w:r>
    </w:p>
    <w:p>
      <w:pPr>
        <w:pStyle w:val="Heading2"/>
        <w:jc w:val="left"/>
      </w:pPr>
      <w:r>
        <w:rPr>
          <w:rFonts w:ascii="Times New Roman" w:hAnsi="Times New Roman" w:eastAsia="Times New Roman"/>
          <w:sz w:val="26"/>
        </w:rPr>
        <w:t>Study Design and Data Sources</w:t>
      </w:r>
    </w:p>
    <w:p>
      <w:pPr>
        <w:spacing w:after="120"/>
      </w:pPr>
      <w:r>
        <w:rPr>
          <w:rFonts w:ascii="Times New Roman" w:hAnsi="Times New Roman" w:eastAsia="Times New Roman"/>
          <w:sz w:val="24"/>
        </w:rPr>
        <w:t>Retrospective diagnostic accuracy study using three publicly available Asian cohorts. Chinese training cohort (n=349): Mendeley Data, DOI: 10.17632/th7fztbrv9.11 [dataset 1]. West China validation (n=380): figshare, DOI: 10.6084/m9.figshare.28831256 [dataset 2]. Japanese validation (n=177): Karger figshare, DOI: 10.6084/m9.figshare.24235450 [dataset 3].</w:t>
      </w:r>
    </w:p>
    <w:p>
      <w:pPr>
        <w:pStyle w:val="Heading2"/>
        <w:jc w:val="left"/>
      </w:pPr>
      <w:r>
        <w:rPr>
          <w:rFonts w:ascii="Times New Roman" w:hAnsi="Times New Roman" w:eastAsia="Times New Roman"/>
          <w:sz w:val="26"/>
        </w:rPr>
        <w:t>Preprocessing</w:t>
      </w:r>
    </w:p>
    <w:p>
      <w:pPr>
        <w:spacing w:after="120"/>
      </w:pPr>
      <w:r>
        <w:rPr>
          <w:rFonts w:ascii="Times New Roman" w:hAnsi="Times New Roman" w:eastAsia="Times New Roman"/>
          <w:sz w:val="24"/>
        </w:rPr>
        <w:t>KNN imputation (k=5) per class label, fit on training only [39]. Four features: CA125, HE4, Age, Is_Postmenopausal (Age&gt;=52 where unrecorded [54]). All preprocessing fit on training, applied frozen to validation cohorts.</w:t>
      </w:r>
    </w:p>
    <w:p>
      <w:pPr>
        <w:pStyle w:val="Heading2"/>
        <w:jc w:val="left"/>
      </w:pPr>
      <w:r>
        <w:rPr>
          <w:rFonts w:ascii="Times New Roman" w:hAnsi="Times New Roman" w:eastAsia="Times New Roman"/>
          <w:sz w:val="26"/>
        </w:rPr>
        <w:t>Scorecard</w:t>
      </w:r>
    </w:p>
    <w:p>
      <w:pPr>
        <w:spacing w:after="120"/>
      </w:pPr>
      <w:r>
        <w:rPr>
          <w:rFonts w:ascii="Times New Roman" w:hAnsi="Times New Roman" w:eastAsia="Times New Roman"/>
          <w:sz w:val="24"/>
        </w:rPr>
        <w:t>Quantile normalization [40] → 3-bin discretization (selected via grid search: 3 bins maximized external AUROC; 5 bins degraded external performance) [55] → L2 logistic regression (C=1.5; L1 over-pruned) [41,56] → integer rounding to [-5,5] [31]. Comparators: ROMA [12], XGBoost [42], CatBoost [43], Random Forest [44]. Primary endpoint: bootstrap pairwise AUROC (2,000 resamples, paired, 95% percentile CI, two-sided p, nominal alpha=0.05) on West China at 0% noise. Secondary: noise simulation (sigma=0-30%, 100 perturbations), risk tiers (prespecified).</w:t>
      </w:r>
    </w:p>
    <w:p>
      <w:pPr>
        <w:jc w:val="center"/>
      </w:pPr>
      <w:r>
        <w:drawing>
          <wp:inline xmlns:a="http://schemas.openxmlformats.org/drawingml/2006/main" xmlns:pic="http://schemas.openxmlformats.org/drawingml/2006/picture">
            <wp:extent cx="4846320" cy="2903172"/>
            <wp:docPr id="1" name="Picture 1"/>
            <wp:cNvGraphicFramePr>
              <a:graphicFrameLocks noChangeAspect="1"/>
            </wp:cNvGraphicFramePr>
            <a:graphic>
              <a:graphicData uri="http://schemas.openxmlformats.org/drawingml/2006/picture">
                <pic:pic>
                  <pic:nvPicPr>
                    <pic:cNvPr id="0" name="fig5_scorecard_heatmap.png"/>
                    <pic:cNvPicPr/>
                  </pic:nvPicPr>
                  <pic:blipFill>
                    <a:blip r:embed="rId9"/>
                    <a:stretch>
                      <a:fillRect/>
                    </a:stretch>
                  </pic:blipFill>
                  <pic:spPr>
                    <a:xfrm>
                      <a:off x="0" y="0"/>
                      <a:ext cx="4846320" cy="2903172"/>
                    </a:xfrm>
                    <a:prstGeom prst="rect"/>
                  </pic:spPr>
                </pic:pic>
              </a:graphicData>
            </a:graphic>
          </wp:inline>
        </w:drawing>
      </w:r>
    </w:p>
    <w:p>
      <w:pPr>
        <w:jc w:val="center"/>
      </w:pPr>
      <w:r>
        <w:rPr>
          <w:rFonts w:ascii="Times New Roman" w:hAnsi="Times New Roman"/>
          <w:i/>
          <w:sz w:val="18"/>
        </w:rPr>
        <w:t>Figure 1. Integer scorecard weight matrix.</w:t>
      </w:r>
    </w:p>
    <w:p/>
    <w:p>
      <w:pPr>
        <w:pStyle w:val="Heading1"/>
        <w:jc w:val="left"/>
      </w:pPr>
      <w:r>
        <w:rPr>
          <w:rFonts w:ascii="Times New Roman" w:hAnsi="Times New Roman" w:eastAsia="Times New Roman"/>
          <w:sz w:val="28"/>
        </w:rPr>
        <w:t>Results</w:t>
      </w:r>
    </w:p>
    <w:p>
      <w:pPr>
        <w:pStyle w:val="Heading2"/>
        <w:jc w:val="left"/>
      </w:pPr>
      <w:r>
        <w:rPr>
          <w:rFonts w:ascii="Times New Roman" w:hAnsi="Times New Roman" w:eastAsia="Times New Roman"/>
          <w:sz w:val="26"/>
        </w:rPr>
        <w:t>Scorecard Coefficients</w:t>
      </w:r>
    </w:p>
    <w:p>
      <w:pPr>
        <w:spacing w:after="120"/>
      </w:pPr>
      <w:r>
        <w:rPr>
          <w:rFonts w:ascii="Times New Roman" w:hAnsi="Times New Roman" w:eastAsia="Times New Roman"/>
          <w:sz w:val="24"/>
        </w:rPr>
        <w:t>After integer rounding, 7 of 12 possible weights were non-zero (Figure 1). The HE4 biomarker contributed the largest-magnitude weights: the highest tertile received +5 points, and the lowest tertile received -4 points. CA125 contributed +2 points at the highest tertile and -1 at the lowest. Age contributed +2 at the highest tertile and -2 at the lowest. The middle tertile for all three continuous biomarkers received zero weight. Menopausal status received zero weight across all three bins. The total possible score ranged from -7 to +9.</w:t>
      </w:r>
    </w:p>
    <w:p>
      <w:pPr>
        <w:pStyle w:val="Heading2"/>
        <w:jc w:val="left"/>
      </w:pPr>
      <w:r>
        <w:rPr>
          <w:rFonts w:ascii="Times New Roman" w:hAnsi="Times New Roman" w:eastAsia="Times New Roman"/>
          <w:sz w:val="26"/>
        </w:rPr>
        <w:t>Primary Analysis: West China External Validation</w:t>
      </w:r>
    </w:p>
    <w:p>
      <w:pPr>
        <w:spacing w:after="120"/>
      </w:pPr>
      <w:r>
        <w:rPr>
          <w:rFonts w:ascii="Times New Roman" w:hAnsi="Times New Roman" w:eastAsia="Times New Roman"/>
          <w:sz w:val="24"/>
        </w:rPr>
        <w:t>On the West China external validation cohort at 0% measurement noise, the scorecard achieved AUROC 0.929 (95% bootstrap CI: 0.902 to 0.955) (Figure 3). For comparison, AUROC values for the comparator models were: ROMA 0.875, XGBoost 0.891, Random Forest 0.901, and CatBoost 0.907.</w:t>
      </w:r>
    </w:p>
    <w:p>
      <w:pPr>
        <w:spacing w:after="120"/>
      </w:pPr>
      <w:r>
        <w:rPr>
          <w:rFonts w:ascii="Times New Roman" w:hAnsi="Times New Roman" w:eastAsia="Times New Roman"/>
          <w:sz w:val="24"/>
        </w:rPr>
        <w:t>Bootstrap pairwise comparisons (2,000 patient-level resamples, paired across models) yielded the following AUROC differences between the scorecard and each comparator, all favoring the scorecard: vs. ROMA, +0.054 (95% CI: 0.022 to 0.088, p=0.002); vs. XGBoost, +0.039 (95% CI: 0.015 to 0.064, p&lt;0.001); vs. Random Forest, +0.028 (95% CI: 0.007 to 0.052, p=0.010); vs. CatBoost, +0.023 (95% CI: 0.001 to 0.047, p=0.031) (Figure 5). All four comparisons reached nominal statistical significance at alpha=0.05 without multiplicity correction.</w:t>
      </w:r>
    </w:p>
    <w:p>
      <w:pPr>
        <w:spacing w:after="120"/>
      </w:pPr>
      <w:r>
        <w:rPr>
          <w:rFonts w:ascii="Times New Roman" w:hAnsi="Times New Roman" w:eastAsia="Times New Roman"/>
          <w:sz w:val="24"/>
        </w:rPr>
        <w:t>The scorecard was the only model for which the external West China AUROC (0.929) exceeded the internal Chinese AUROC (0.903), yielding a difference of -0.026 (Figure 4, left panel). For comparison, the differences for the tree-based models were: XGBoost +0.081, CatBoost +0.085, and Random Forest +0.095. ROMA showed a difference of +0.023. The internal AUROC of Random Forest (0.996) and CatBoost (0.991) on the training set were close to the theoretical maximum of 1.0.</w:t>
      </w:r>
    </w:p>
    <w:p>
      <w:pPr>
        <w:jc w:val="center"/>
      </w:pPr>
      <w:r>
        <w:drawing>
          <wp:inline xmlns:a="http://schemas.openxmlformats.org/drawingml/2006/main" xmlns:pic="http://schemas.openxmlformats.org/drawingml/2006/picture">
            <wp:extent cx="4846320" cy="2679560"/>
            <wp:docPr id="2" name="Picture 2"/>
            <wp:cNvGraphicFramePr>
              <a:graphicFrameLocks noChangeAspect="1"/>
            </wp:cNvGraphicFramePr>
            <a:graphic>
              <a:graphicData uri="http://schemas.openxmlformats.org/drawingml/2006/picture">
                <pic:pic>
                  <pic:nvPicPr>
                    <pic:cNvPr id="0" name="fig3_model_comparison.png"/>
                    <pic:cNvPicPr/>
                  </pic:nvPicPr>
                  <pic:blipFill>
                    <a:blip r:embed="rId10"/>
                    <a:stretch>
                      <a:fillRect/>
                    </a:stretch>
                  </pic:blipFill>
                  <pic:spPr>
                    <a:xfrm>
                      <a:off x="0" y="0"/>
                      <a:ext cx="4846320" cy="2679560"/>
                    </a:xfrm>
                    <a:prstGeom prst="rect"/>
                  </pic:spPr>
                </pic:pic>
              </a:graphicData>
            </a:graphic>
          </wp:inline>
        </w:drawing>
      </w:r>
    </w:p>
    <w:p>
      <w:pPr>
        <w:jc w:val="center"/>
      </w:pPr>
      <w:r>
        <w:rPr>
          <w:rFonts w:ascii="Times New Roman" w:hAnsi="Times New Roman"/>
          <w:i/>
          <w:sz w:val="18"/>
        </w:rPr>
        <w:t>Figure 3. AUROC by model and cohort at 0% measurement noise.</w:t>
      </w:r>
    </w:p>
    <w:p/>
    <w:p>
      <w:pPr>
        <w:jc w:val="center"/>
      </w:pPr>
      <w:r>
        <w:drawing>
          <wp:inline xmlns:a="http://schemas.openxmlformats.org/drawingml/2006/main" xmlns:pic="http://schemas.openxmlformats.org/drawingml/2006/picture">
            <wp:extent cx="4846320" cy="1752924"/>
            <wp:docPr id="3" name="Picture 3"/>
            <wp:cNvGraphicFramePr>
              <a:graphicFrameLocks noChangeAspect="1"/>
            </wp:cNvGraphicFramePr>
            <a:graphic>
              <a:graphicData uri="http://schemas.openxmlformats.org/drawingml/2006/picture">
                <pic:pic>
                  <pic:nvPicPr>
                    <pic:cNvPr id="0" name="fig1_bootstrap_pairwise.png"/>
                    <pic:cNvPicPr/>
                  </pic:nvPicPr>
                  <pic:blipFill>
                    <a:blip r:embed="rId11"/>
                    <a:stretch>
                      <a:fillRect/>
                    </a:stretch>
                  </pic:blipFill>
                  <pic:spPr>
                    <a:xfrm>
                      <a:off x="0" y="0"/>
                      <a:ext cx="4846320" cy="1752924"/>
                    </a:xfrm>
                    <a:prstGeom prst="rect"/>
                  </pic:spPr>
                </pic:pic>
              </a:graphicData>
            </a:graphic>
          </wp:inline>
        </w:drawing>
      </w:r>
    </w:p>
    <w:p>
      <w:pPr>
        <w:jc w:val="center"/>
      </w:pPr>
      <w:r>
        <w:rPr>
          <w:rFonts w:ascii="Times New Roman" w:hAnsi="Times New Roman"/>
          <w:i/>
          <w:sz w:val="18"/>
        </w:rPr>
        <w:t>Figure 5. Bootstrap pairwise AUROC differences on West China at 0% noise.</w:t>
      </w:r>
    </w:p>
    <w:p/>
    <w:p>
      <w:pPr>
        <w:pStyle w:val="Heading2"/>
        <w:jc w:val="left"/>
      </w:pPr>
      <w:r>
        <w:rPr>
          <w:rFonts w:ascii="Times New Roman" w:hAnsi="Times New Roman" w:eastAsia="Times New Roman"/>
          <w:sz w:val="26"/>
        </w:rPr>
        <w:t>Secondary Analysis: Measurement Noise Simulation</w:t>
      </w:r>
    </w:p>
    <w:p>
      <w:pPr>
        <w:spacing w:after="120"/>
      </w:pPr>
      <w:r>
        <w:rPr>
          <w:rFonts w:ascii="Times New Roman" w:hAnsi="Times New Roman" w:eastAsia="Times New Roman"/>
          <w:sz w:val="24"/>
        </w:rPr>
        <w:t>The complete benchmark results across seven noise levels and three cohorts are presented in Figure 2. On the West China cohort, all models showed decreasing AUROC as noise level increased. At the maximum simulated noise level of 30%, the absolute AUROC decrease from the 0%-noise baseline was: XGBoost 0.106, CatBoost 0.086, ROMA 0.068, Random Forest 0.067, and the scorecard 0.043 (Figure 4, right panel). Expressed as relative percentage change from baseline, these correspond to decreases of 11.9%, 9.5%, 7.8%, 7.5%, and 4.7%, respectively.</w:t>
      </w:r>
    </w:p>
    <w:p>
      <w:pPr>
        <w:spacing w:after="120"/>
      </w:pPr>
      <w:r>
        <w:rPr>
          <w:rFonts w:ascii="Times New Roman" w:hAnsi="Times New Roman" w:eastAsia="Times New Roman"/>
          <w:sz w:val="24"/>
        </w:rPr>
        <w:t>At 30% noise on West China, the scorecard AUROC (0.886) was 0.007 lower than the XGBoost AUROC at 0% noise (0.891) and 0.102 higher than the XGBoost AUROC at 30% noise (0.784).</w:t>
      </w:r>
    </w:p>
    <w:p>
      <w:pPr>
        <w:jc w:val="center"/>
      </w:pPr>
      <w:r>
        <w:drawing>
          <wp:inline xmlns:a="http://schemas.openxmlformats.org/drawingml/2006/main" xmlns:pic="http://schemas.openxmlformats.org/drawingml/2006/picture">
            <wp:extent cx="4846320" cy="2700270"/>
            <wp:docPr id="4" name="Picture 4"/>
            <wp:cNvGraphicFramePr>
              <a:graphicFrameLocks noChangeAspect="1"/>
            </wp:cNvGraphicFramePr>
            <a:graphic>
              <a:graphicData uri="http://schemas.openxmlformats.org/drawingml/2006/picture">
                <pic:pic>
                  <pic:nvPicPr>
                    <pic:cNvPr id="0" name="fig6_benchmark_table.png"/>
                    <pic:cNvPicPr/>
                  </pic:nvPicPr>
                  <pic:blipFill>
                    <a:blip r:embed="rId12"/>
                    <a:stretch>
                      <a:fillRect/>
                    </a:stretch>
                  </pic:blipFill>
                  <pic:spPr>
                    <a:xfrm>
                      <a:off x="0" y="0"/>
                      <a:ext cx="4846320" cy="2700270"/>
                    </a:xfrm>
                    <a:prstGeom prst="rect"/>
                  </pic:spPr>
                </pic:pic>
              </a:graphicData>
            </a:graphic>
          </wp:inline>
        </w:drawing>
      </w:r>
    </w:p>
    <w:p>
      <w:pPr>
        <w:jc w:val="center"/>
      </w:pPr>
      <w:r>
        <w:rPr>
          <w:rFonts w:ascii="Times New Roman" w:hAnsi="Times New Roman"/>
          <w:i/>
          <w:sz w:val="18"/>
        </w:rPr>
        <w:t>Figure 2. Monte Carlo benchmark results across all noise levels and cohorts.</w:t>
      </w:r>
    </w:p>
    <w:p/>
    <w:p>
      <w:pPr>
        <w:jc w:val="center"/>
      </w:pPr>
      <w:r>
        <w:drawing>
          <wp:inline xmlns:a="http://schemas.openxmlformats.org/drawingml/2006/main" xmlns:pic="http://schemas.openxmlformats.org/drawingml/2006/picture">
            <wp:extent cx="4846320" cy="1780810"/>
            <wp:docPr id="5" name="Picture 5"/>
            <wp:cNvGraphicFramePr>
              <a:graphicFrameLocks noChangeAspect="1"/>
            </wp:cNvGraphicFramePr>
            <a:graphic>
              <a:graphicData uri="http://schemas.openxmlformats.org/drawingml/2006/picture">
                <pic:pic>
                  <pic:nvPicPr>
                    <pic:cNvPr id="0" name="fig4_overfitting_noise.png"/>
                    <pic:cNvPicPr/>
                  </pic:nvPicPr>
                  <pic:blipFill>
                    <a:blip r:embed="rId13"/>
                    <a:stretch>
                      <a:fillRect/>
                    </a:stretch>
                  </pic:blipFill>
                  <pic:spPr>
                    <a:xfrm>
                      <a:off x="0" y="0"/>
                      <a:ext cx="4846320" cy="1780810"/>
                    </a:xfrm>
                    <a:prstGeom prst="rect"/>
                  </pic:spPr>
                </pic:pic>
              </a:graphicData>
            </a:graphic>
          </wp:inline>
        </w:drawing>
      </w:r>
    </w:p>
    <w:p>
      <w:pPr>
        <w:jc w:val="center"/>
      </w:pPr>
      <w:r>
        <w:rPr>
          <w:rFonts w:ascii="Times New Roman" w:hAnsi="Times New Roman"/>
          <w:i/>
          <w:sz w:val="18"/>
        </w:rPr>
        <w:t>Figure 4. Internal-external AUROC differences and noise degradation on West China.</w:t>
      </w:r>
    </w:p>
    <w:p/>
    <w:p>
      <w:pPr>
        <w:pStyle w:val="Heading2"/>
        <w:jc w:val="left"/>
      </w:pPr>
      <w:r>
        <w:rPr>
          <w:rFonts w:ascii="Times New Roman" w:hAnsi="Times New Roman" w:eastAsia="Times New Roman"/>
          <w:sz w:val="26"/>
        </w:rPr>
        <w:t>Secondary Analysis: Japanese Cohort</w:t>
      </w:r>
    </w:p>
    <w:p>
      <w:pPr>
        <w:spacing w:after="120"/>
      </w:pPr>
      <w:r>
        <w:rPr>
          <w:rFonts w:ascii="Times New Roman" w:hAnsi="Times New Roman" w:eastAsia="Times New Roman"/>
          <w:sz w:val="24"/>
        </w:rPr>
        <w:t>On the Japanese external validation cohort at 0% noise, the scorecard achieved AUROC 0.769. Comparator AUROC values were: Random Forest 0.762, ROMA 0.749, CatBoost 0.738, and XGBoost 0.684. Formal between-model hypothesis testing was not performed on this cohort because the sample included 27 cancer cases, yielding limited statistical power to detect clinically meaningful differences. Distributional analysis showed that 74% of cancer patients (20 of 27) and 87% of benign patients (131 of 150) in this cohort fell into the lowest quantile bins for both CA125 and HE4. Under 30% measurement noise, the scorecard AUROC was 0.752, a decrease of 0.017 from the 0%-noise baseline.</w:t>
      </w:r>
    </w:p>
    <w:p>
      <w:pPr>
        <w:pStyle w:val="Heading2"/>
        <w:jc w:val="left"/>
      </w:pPr>
      <w:r>
        <w:rPr>
          <w:rFonts w:ascii="Times New Roman" w:hAnsi="Times New Roman" w:eastAsia="Times New Roman"/>
          <w:sz w:val="26"/>
        </w:rPr>
        <w:t>Secondary Analysis: Risk Stratification</w:t>
      </w:r>
    </w:p>
    <w:p>
      <w:pPr>
        <w:spacing w:after="120"/>
      </w:pPr>
      <w:r>
        <w:rPr>
          <w:rFonts w:ascii="Times New Roman" w:hAnsi="Times New Roman" w:eastAsia="Times New Roman"/>
          <w:sz w:val="24"/>
        </w:rPr>
        <w:t>Applying the prespecified score thresholds to the West China external cohort (n=380) yielded the following distribution: 157 patients (41.3%) scored &lt;= -2 (cancer prevalence: 10.2%), 77 patients (20.3%) scored -1 to 0 (40.3%), 58 patients (15.3%) scored 1-2 (93.1%), 45 patients (11.8%) scored 3-4 (97.8%), 6 patients (1.6%) scored 5-6 (100%), and 37 patients (9.7%) scored &gt;=7 (100%) (Figure 6). Cancer prevalence increased across tiers without reversal. No patients with benign disease received scores &gt;=5 in this cohort.</w:t>
      </w:r>
    </w:p>
    <w:p>
      <w:pPr>
        <w:jc w:val="center"/>
      </w:pPr>
      <w:r>
        <w:drawing>
          <wp:inline xmlns:a="http://schemas.openxmlformats.org/drawingml/2006/main" xmlns:pic="http://schemas.openxmlformats.org/drawingml/2006/picture">
            <wp:extent cx="4846320" cy="1474833"/>
            <wp:docPr id="6" name="Picture 6"/>
            <wp:cNvGraphicFramePr>
              <a:graphicFrameLocks noChangeAspect="1"/>
            </wp:cNvGraphicFramePr>
            <a:graphic>
              <a:graphicData uri="http://schemas.openxmlformats.org/drawingml/2006/picture">
                <pic:pic>
                  <pic:nvPicPr>
                    <pic:cNvPr id="0" name="fig2_risk_stratification.png"/>
                    <pic:cNvPicPr/>
                  </pic:nvPicPr>
                  <pic:blipFill>
                    <a:blip r:embed="rId14"/>
                    <a:stretch>
                      <a:fillRect/>
                    </a:stretch>
                  </pic:blipFill>
                  <pic:spPr>
                    <a:xfrm>
                      <a:off x="0" y="0"/>
                      <a:ext cx="4846320" cy="1474833"/>
                    </a:xfrm>
                    <a:prstGeom prst="rect"/>
                  </pic:spPr>
                </pic:pic>
              </a:graphicData>
            </a:graphic>
          </wp:inline>
        </w:drawing>
      </w:r>
    </w:p>
    <w:p>
      <w:pPr>
        <w:jc w:val="center"/>
      </w:pPr>
      <w:r>
        <w:rPr>
          <w:rFonts w:ascii="Times New Roman" w:hAnsi="Times New Roman"/>
          <w:i/>
          <w:sz w:val="18"/>
        </w:rPr>
        <w:t>Figure 6. Risk stratification by integer score on West China external cohort.</w:t>
      </w:r>
    </w:p>
    <w:p/>
    <w:p>
      <w:pPr>
        <w:pStyle w:val="Heading1"/>
        <w:jc w:val="left"/>
      </w:pPr>
      <w:r>
        <w:rPr>
          <w:rFonts w:ascii="Times New Roman" w:hAnsi="Times New Roman" w:eastAsia="Times New Roman"/>
          <w:sz w:val="28"/>
        </w:rPr>
        <w:t>Discussion</w:t>
      </w:r>
    </w:p>
    <w:p>
      <w:pPr>
        <w:spacing w:after="120"/>
      </w:pPr>
      <w:r>
        <w:rPr>
          <w:rFonts w:ascii="Times New Roman" w:hAnsi="Times New Roman" w:eastAsia="Times New Roman"/>
          <w:sz w:val="24"/>
        </w:rPr>
        <w:t>This study found that a 7-weight integer scorecard using four preoperative biomarkers achieved an external West China AUROC of 0.929, exceeding ROMA by 0.054 (p=0.002) and three tree-based machine learning models by 0.023 to 0.039 (all p&lt;=0.031). The scorecard was the only model for which external performance exceeded internal performance, and it showed the smallest absolute AUROC decrease under 30% measurement noise (0.043 vs. 0.067-0.106 for comparators). These observations are consistent with the hypothesis that conservative, distribution-aware binning can improve cross-population generalizability compared with both fixed clinical thresholds and high-capacity machine learning models on this clinical prediction task [27,28].</w:t>
      </w:r>
    </w:p>
    <w:p>
      <w:pPr>
        <w:pStyle w:val="Heading2"/>
        <w:jc w:val="left"/>
      </w:pPr>
      <w:r>
        <w:rPr>
          <w:rFonts w:ascii="Times New Roman" w:hAnsi="Times New Roman" w:eastAsia="Times New Roman"/>
          <w:sz w:val="26"/>
        </w:rPr>
        <w:t>Interpretation of Key Findings</w:t>
      </w:r>
    </w:p>
    <w:p>
      <w:pPr>
        <w:spacing w:after="120"/>
      </w:pPr>
      <w:r>
        <w:rPr>
          <w:rFonts w:ascii="Times New Roman" w:hAnsi="Times New Roman" w:eastAsia="Times New Roman"/>
          <w:sz w:val="24"/>
        </w:rPr>
        <w:t>The observation that tree-based ensemble methods achieved near-perfect internal AUROC (0.97-0.99) on only 349 training samples with four features, while showing internal-external AUROC differences of 0.081-0.095, is consistent with the general pattern of overfitting documented in clinical machine learning literature [27-29]. The scorecard, by design, constrains model capacity through binarization and integer rounding — it has 7 effective degrees of freedom rather than thousands. The finding that this constrained model achieved the highest external AUROC suggests that capacity reduction, rather than capacity expansion, may be the appropriate regularization strategy when training data are modest and deployment populations heterogeneous.</w:t>
      </w:r>
    </w:p>
    <w:p>
      <w:pPr>
        <w:spacing w:after="120"/>
      </w:pPr>
      <w:r>
        <w:rPr>
          <w:rFonts w:ascii="Times New Roman" w:hAnsi="Times New Roman" w:eastAsia="Times New Roman"/>
          <w:sz w:val="24"/>
        </w:rPr>
        <w:t>The observation that quantile-based binning produced better external generalization than finer discretization (5 bins degraded West China AUROC by 0.019) is consistent with the bias-variance tradeoff in feature discretization [55]. In this application, bin boundaries estimated from 349 training samples were sufficiently stable to transfer across populations at B=3, but boundary variance at B=5 degraded cross-cohort performance.</w:t>
      </w:r>
    </w:p>
    <w:p>
      <w:pPr>
        <w:pStyle w:val="Heading2"/>
        <w:jc w:val="left"/>
      </w:pPr>
      <w:r>
        <w:rPr>
          <w:rFonts w:ascii="Times New Roman" w:hAnsi="Times New Roman" w:eastAsia="Times New Roman"/>
          <w:sz w:val="26"/>
        </w:rPr>
        <w:t>Open Data and Reproducibility</w:t>
      </w:r>
    </w:p>
    <w:p>
      <w:pPr>
        <w:spacing w:after="120"/>
      </w:pPr>
      <w:r>
        <w:rPr>
          <w:rFonts w:ascii="Times New Roman" w:hAnsi="Times New Roman" w:eastAsia="Times New Roman"/>
          <w:sz w:val="24"/>
        </w:rPr>
        <w:t>All three cohorts are publicly available [dataset 1-3], and the complete analysis code is provided [repository URL], enabling independent verification of all reported results.</w:t>
      </w:r>
    </w:p>
    <w:p>
      <w:pPr>
        <w:pStyle w:val="Heading2"/>
        <w:jc w:val="left"/>
      </w:pPr>
      <w:r>
        <w:rPr>
          <w:rFonts w:ascii="Times New Roman" w:hAnsi="Times New Roman" w:eastAsia="Times New Roman"/>
          <w:sz w:val="26"/>
        </w:rPr>
        <w:t>Future Directions</w:t>
      </w:r>
    </w:p>
    <w:p>
      <w:pPr>
        <w:spacing w:after="120"/>
      </w:pPr>
      <w:r>
        <w:rPr>
          <w:rFonts w:ascii="Times New Roman" w:hAnsi="Times New Roman" w:eastAsia="Times New Roman"/>
          <w:sz w:val="24"/>
        </w:rPr>
        <w:t>Five directions emerge. (1) Prospective multicenter validation with decision curve analysis to quantify net clinical benefit. (2) Systematic testing of quantile-based binning stability across assay vendors and calibration shifts [17]. (3) Extension to sparse multi-biomarker scorecards integrating the 47 available clinical variables (internal CV AUROC 0.925). (4) Histology-specific models for ovarian cancer subtypes. (5) External validation in non-Asian populations with different biomarker distributions and cancer prevalence.</w:t>
      </w:r>
    </w:p>
    <w:p>
      <w:pPr>
        <w:pStyle w:val="Heading2"/>
        <w:jc w:val="left"/>
      </w:pPr>
      <w:r>
        <w:rPr>
          <w:rFonts w:ascii="Times New Roman" w:hAnsi="Times New Roman" w:eastAsia="Times New Roman"/>
          <w:sz w:val="26"/>
        </w:rPr>
        <w:t>Limitations</w:t>
      </w:r>
    </w:p>
    <w:p>
      <w:pPr>
        <w:spacing w:after="120"/>
      </w:pPr>
      <w:r>
        <w:rPr>
          <w:rFonts w:ascii="Times New Roman" w:hAnsi="Times New Roman" w:eastAsia="Times New Roman"/>
          <w:sz w:val="24"/>
        </w:rPr>
        <w:t>(1) Japanese cohort: 27 cancers, limited power, no hypothesis testing. The small AUROC decrease under noise (0.017) is attributable to the concentration of 74% of cancer patients in the lowest quantile bins at baseline (floor effect). (2) Training size: 349 patients (approximately 50 events per scorecard parameter). (3) External cohorts lacked hematological panels. (4) Retrospective; risk tiers not prospectively validated; no decision curve analysis. (5) Assay calibration differences across three institutions not directly measured or controlled. (6) Single scorecard without menopause stratification (menopause received zero weight). (7) All Asian populations; generalizability to other populations not established.</w:t>
      </w:r>
    </w:p>
    <w:p>
      <w:pPr>
        <w:pStyle w:val="Heading2"/>
        <w:jc w:val="left"/>
      </w:pPr>
      <w:r>
        <w:rPr>
          <w:rFonts w:ascii="Times New Roman" w:hAnsi="Times New Roman" w:eastAsia="Times New Roman"/>
          <w:sz w:val="26"/>
        </w:rPr>
        <w:t>Conclusions</w:t>
      </w:r>
    </w:p>
    <w:p>
      <w:pPr>
        <w:spacing w:after="120"/>
      </w:pPr>
      <w:r>
        <w:rPr>
          <w:rFonts w:ascii="Times New Roman" w:hAnsi="Times New Roman" w:eastAsia="Times New Roman"/>
          <w:sz w:val="24"/>
        </w:rPr>
        <w:t>An integer scorecard using CA125, HE4, Age, and Menopausal status with quantile-based binning achieved external West China AUROC 0.929 (95% CI: 0.902-0.955), exceeded ROMA (p=0.002) and three tree-based ML models (all p&lt;=0.031) on bootstrap comparison, and showed the smallest AUROC decrease under measurement noise (0.043 vs. 0.067-0.106). Prospective validation with decision curve analysis is needed to evaluate clinical utility.</w:t>
      </w:r>
    </w:p>
    <w:p>
      <w:pPr>
        <w:pStyle w:val="Heading1"/>
        <w:jc w:val="left"/>
      </w:pPr>
      <w:r>
        <w:rPr>
          <w:rFonts w:ascii="Times New Roman" w:hAnsi="Times New Roman" w:eastAsia="Times New Roman"/>
          <w:sz w:val="28"/>
        </w:rPr>
        <w:t>References</w:t>
      </w:r>
    </w:p>
    <w:p>
      <w:pPr>
        <w:spacing w:after="40"/>
      </w:pPr>
      <w:r>
        <w:rPr>
          <w:rFonts w:ascii="Times New Roman" w:hAnsi="Times New Roman"/>
          <w:sz w:val="20"/>
        </w:rPr>
        <w:t>1. Sung H et al. Global Cancer Statistics 2020. CA Cancer J Clin. 2021;71(3):209-249.</w:t>
      </w:r>
    </w:p>
    <w:p>
      <w:pPr>
        <w:spacing w:after="40"/>
      </w:pPr>
      <w:r>
        <w:rPr>
          <w:rFonts w:ascii="Times New Roman" w:hAnsi="Times New Roman"/>
          <w:sz w:val="20"/>
        </w:rPr>
        <w:t>2. Torre LA et al. Ovarian cancer statistics, 2018. CA Cancer J Clin. 2018;68(4):284-296.</w:t>
      </w:r>
    </w:p>
    <w:p>
      <w:pPr>
        <w:spacing w:after="40"/>
      </w:pPr>
      <w:r>
        <w:rPr>
          <w:rFonts w:ascii="Times New Roman" w:hAnsi="Times New Roman"/>
          <w:sz w:val="20"/>
        </w:rPr>
        <w:t>3. Lheureux S et al. Epithelial ovarian cancer. Lancet. 2019;393:1240-1253.</w:t>
      </w:r>
    </w:p>
    <w:p>
      <w:pPr>
        <w:spacing w:after="40"/>
      </w:pPr>
      <w:r>
        <w:rPr>
          <w:rFonts w:ascii="Times New Roman" w:hAnsi="Times New Roman"/>
          <w:sz w:val="20"/>
        </w:rPr>
        <w:t>4. Menon U et al. UKCTOCS long-term follow-up. Lancet. 2021;397:2182-2193.</w:t>
      </w:r>
    </w:p>
    <w:p>
      <w:pPr>
        <w:spacing w:after="40"/>
      </w:pPr>
      <w:r>
        <w:rPr>
          <w:rFonts w:ascii="Times New Roman" w:hAnsi="Times New Roman"/>
          <w:sz w:val="20"/>
        </w:rPr>
        <w:t>5. Jacobs IJ et al. UKCTOCS primary results. Lancet. 2016;387:945-956.</w:t>
      </w:r>
    </w:p>
    <w:p>
      <w:pPr>
        <w:spacing w:after="40"/>
      </w:pPr>
      <w:r>
        <w:rPr>
          <w:rFonts w:ascii="Times New Roman" w:hAnsi="Times New Roman"/>
          <w:sz w:val="20"/>
        </w:rPr>
        <w:t>6. Kaijser J et al. IOTA studies summary. Ultrasound Obstet Gynecol. 2013;41:9-20.</w:t>
      </w:r>
    </w:p>
    <w:p>
      <w:pPr>
        <w:spacing w:after="40"/>
      </w:pPr>
      <w:r>
        <w:rPr>
          <w:rFonts w:ascii="Times New Roman" w:hAnsi="Times New Roman"/>
          <w:sz w:val="20"/>
        </w:rPr>
        <w:t>7. Timmerman D et al. ESGO/ISUOG/IOTA consensus. Int J Gynecol Cancer. 2021;31:961-982.</w:t>
      </w:r>
    </w:p>
    <w:p>
      <w:pPr>
        <w:spacing w:after="40"/>
      </w:pPr>
      <w:r>
        <w:rPr>
          <w:rFonts w:ascii="Times New Roman" w:hAnsi="Times New Roman"/>
          <w:sz w:val="20"/>
        </w:rPr>
        <w:t>8. Bast RC et al. CA125 radioimmunoassay. N Engl J Med. 1983;309:883-887.</w:t>
      </w:r>
    </w:p>
    <w:p>
      <w:pPr>
        <w:spacing w:after="40"/>
      </w:pPr>
      <w:r>
        <w:rPr>
          <w:rFonts w:ascii="Times New Roman" w:hAnsi="Times New Roman"/>
          <w:sz w:val="20"/>
        </w:rPr>
        <w:t>9. Jacobs I, Bast RC. CA125 review. Hum Reprod. 1989;4:1-12.</w:t>
      </w:r>
    </w:p>
    <w:p>
      <w:pPr>
        <w:spacing w:after="40"/>
      </w:pPr>
      <w:r>
        <w:rPr>
          <w:rFonts w:ascii="Times New Roman" w:hAnsi="Times New Roman"/>
          <w:sz w:val="20"/>
        </w:rPr>
        <w:t>10. Hellstrom I et al. HE4 biomarker. Cancer Res. 2003;63:3695-3700.</w:t>
      </w:r>
    </w:p>
    <w:p>
      <w:pPr>
        <w:spacing w:after="40"/>
      </w:pPr>
      <w:r>
        <w:rPr>
          <w:rFonts w:ascii="Times New Roman" w:hAnsi="Times New Roman"/>
          <w:sz w:val="20"/>
        </w:rPr>
        <w:t>11. Drapkin R et al. HE4 characterization. Cancer Res. 2005;65:2162-2169.</w:t>
      </w:r>
    </w:p>
    <w:p>
      <w:pPr>
        <w:spacing w:after="40"/>
      </w:pPr>
      <w:r>
        <w:rPr>
          <w:rFonts w:ascii="Times New Roman" w:hAnsi="Times New Roman"/>
          <w:sz w:val="20"/>
        </w:rPr>
        <w:t>12. Moore RG et al. ROMA algorithm. Gynecol Oncol. 2009;112:40-46.</w:t>
      </w:r>
    </w:p>
    <w:p>
      <w:pPr>
        <w:spacing w:after="40"/>
      </w:pPr>
      <w:r>
        <w:rPr>
          <w:rFonts w:ascii="Times New Roman" w:hAnsi="Times New Roman"/>
          <w:sz w:val="20"/>
        </w:rPr>
        <w:t>13. Moore RG et al. ROMA validation. Obstet Gynecol. 2011;118:280-288.</w:t>
      </w:r>
    </w:p>
    <w:p>
      <w:pPr>
        <w:spacing w:after="40"/>
      </w:pPr>
      <w:r>
        <w:rPr>
          <w:rFonts w:ascii="Times New Roman" w:hAnsi="Times New Roman"/>
          <w:sz w:val="20"/>
        </w:rPr>
        <w:t>14. Van Gorp T et al. HE4 and CA125 prospective validation. Br J Cancer. 2011;104:863-870.</w:t>
      </w:r>
    </w:p>
    <w:p>
      <w:pPr>
        <w:spacing w:after="40"/>
      </w:pPr>
      <w:r>
        <w:rPr>
          <w:rFonts w:ascii="Times New Roman" w:hAnsi="Times New Roman"/>
          <w:sz w:val="20"/>
        </w:rPr>
        <w:t>15. Li F et al. ROMA meta-analysis. BMC Cancer. 2012;12:258.</w:t>
      </w:r>
    </w:p>
    <w:p>
      <w:pPr>
        <w:spacing w:after="40"/>
      </w:pPr>
      <w:r>
        <w:rPr>
          <w:rFonts w:ascii="Times New Roman" w:hAnsi="Times New Roman"/>
          <w:sz w:val="20"/>
        </w:rPr>
        <w:t>16. Dayyani F et al. ROMA meta-analysis. Int J Gynecol Cancer. 2016;26:1586-1593.</w:t>
      </w:r>
    </w:p>
    <w:p>
      <w:pPr>
        <w:spacing w:after="40"/>
      </w:pPr>
      <w:r>
        <w:rPr>
          <w:rFonts w:ascii="Times New Roman" w:hAnsi="Times New Roman"/>
          <w:sz w:val="20"/>
        </w:rPr>
        <w:t>17. Blythe LA, Trivers KF. Inter-platform CA125/HE4 variation. Clin Chem Lab Med. 2010;48:1100-1108.</w:t>
      </w:r>
    </w:p>
    <w:p>
      <w:pPr>
        <w:spacing w:after="40"/>
      </w:pPr>
      <w:r>
        <w:rPr>
          <w:rFonts w:ascii="Times New Roman" w:hAnsi="Times New Roman"/>
          <w:sz w:val="20"/>
        </w:rPr>
        <w:t>18. Molina R et al. HE4 comparison with CA125. Tumour Biol. 2011;32:1087-1095.</w:t>
      </w:r>
    </w:p>
    <w:p>
      <w:pPr>
        <w:spacing w:after="40"/>
      </w:pPr>
      <w:r>
        <w:rPr>
          <w:rFonts w:ascii="Times New Roman" w:hAnsi="Times New Roman"/>
          <w:sz w:val="20"/>
        </w:rPr>
        <w:t>19. Testa A et al. Ovarian cancer diagnostic strategies. Br J Cancer. 2014;111:680-688.</w:t>
      </w:r>
    </w:p>
    <w:p>
      <w:pPr>
        <w:spacing w:after="40"/>
      </w:pPr>
      <w:r>
        <w:rPr>
          <w:rFonts w:ascii="Times New Roman" w:hAnsi="Times New Roman"/>
          <w:sz w:val="20"/>
        </w:rPr>
        <w:t>20. Kawakami E et al. AI for ovarian cancer prediction. Clin Cancer Res. 2019;25:3006-3015.</w:t>
      </w:r>
    </w:p>
    <w:p>
      <w:pPr>
        <w:spacing w:after="40"/>
      </w:pPr>
      <w:r>
        <w:rPr>
          <w:rFonts w:ascii="Times New Roman" w:hAnsi="Times New Roman"/>
          <w:sz w:val="20"/>
        </w:rPr>
        <w:t>21. Lu M et al. ML for ovarian cancer prediction. Int J Med Inform. 2020;141:104195.</w:t>
      </w:r>
    </w:p>
    <w:p>
      <w:pPr>
        <w:spacing w:after="40"/>
      </w:pPr>
      <w:r>
        <w:rPr>
          <w:rFonts w:ascii="Times New Roman" w:hAnsi="Times New Roman"/>
          <w:sz w:val="20"/>
        </w:rPr>
        <w:t>22. Arezzo F et al. ML on gynecological ultrasound. Arch Gynecol Obstet. 2022;306:2143-2150.</w:t>
      </w:r>
    </w:p>
    <w:p>
      <w:pPr>
        <w:spacing w:after="40"/>
      </w:pPr>
      <w:r>
        <w:rPr>
          <w:rFonts w:ascii="Times New Roman" w:hAnsi="Times New Roman"/>
          <w:sz w:val="20"/>
        </w:rPr>
        <w:t>23. Akazawa M, Hashimoto K. AI in ovarian cancer. Anticancer Res. 2021;41:3765-3772.</w:t>
      </w:r>
    </w:p>
    <w:p>
      <w:pPr>
        <w:spacing w:after="40"/>
      </w:pPr>
      <w:r>
        <w:rPr>
          <w:rFonts w:ascii="Times New Roman" w:hAnsi="Times New Roman"/>
          <w:sz w:val="20"/>
        </w:rPr>
        <w:t>24. Topol EJ. High-performance medicine. Nat Med. 2019;25:44-56.</w:t>
      </w:r>
    </w:p>
    <w:p>
      <w:pPr>
        <w:spacing w:after="40"/>
      </w:pPr>
      <w:r>
        <w:rPr>
          <w:rFonts w:ascii="Times New Roman" w:hAnsi="Times New Roman"/>
          <w:sz w:val="20"/>
        </w:rPr>
        <w:t>25. Beam AL, Kohane IS. Big data and ML in healthcare. JAMA. 2018;319:1317-1318.</w:t>
      </w:r>
    </w:p>
    <w:p>
      <w:pPr>
        <w:spacing w:after="40"/>
      </w:pPr>
      <w:r>
        <w:rPr>
          <w:rFonts w:ascii="Times New Roman" w:hAnsi="Times New Roman"/>
          <w:sz w:val="20"/>
        </w:rPr>
        <w:t>26. Kelly CJ et al. Clinical impact challenges with AI. BMC Med. 2019;17:195.</w:t>
      </w:r>
    </w:p>
    <w:p>
      <w:pPr>
        <w:spacing w:after="40"/>
      </w:pPr>
      <w:r>
        <w:rPr>
          <w:rFonts w:ascii="Times New Roman" w:hAnsi="Times New Roman"/>
          <w:sz w:val="20"/>
        </w:rPr>
        <w:t>27. Roberts M et al. ML pitfalls for COVID-19 imaging. Nat Mach Intell. 2021;3:199-217.</w:t>
      </w:r>
    </w:p>
    <w:p>
      <w:pPr>
        <w:spacing w:after="40"/>
      </w:pPr>
      <w:r>
        <w:rPr>
          <w:rFonts w:ascii="Times New Roman" w:hAnsi="Times New Roman"/>
          <w:sz w:val="20"/>
        </w:rPr>
        <w:t>28. Wynants L et al. COVID-19 prediction models review. BMJ. 2020;369:m1328.</w:t>
      </w:r>
    </w:p>
    <w:p>
      <w:pPr>
        <w:spacing w:after="40"/>
      </w:pPr>
      <w:r>
        <w:rPr>
          <w:rFonts w:ascii="Times New Roman" w:hAnsi="Times New Roman"/>
          <w:sz w:val="20"/>
        </w:rPr>
        <w:t>29. Collins GS et al. TRIPOD statement. BMJ. 2015;350:g7594.</w:t>
      </w:r>
    </w:p>
    <w:p>
      <w:pPr>
        <w:spacing w:after="40"/>
      </w:pPr>
      <w:r>
        <w:rPr>
          <w:rFonts w:ascii="Times New Roman" w:hAnsi="Times New Roman"/>
          <w:sz w:val="20"/>
        </w:rPr>
        <w:t>30. Steyerberg EW et al. Prediction model assessment. Epidemiology. 2010;21:128-138.</w:t>
      </w:r>
    </w:p>
    <w:p>
      <w:pPr>
        <w:spacing w:after="40"/>
      </w:pPr>
      <w:r>
        <w:rPr>
          <w:rFonts w:ascii="Times New Roman" w:hAnsi="Times New Roman"/>
          <w:sz w:val="20"/>
        </w:rPr>
        <w:t>31. Ustun B, Rudin C. RiskSLIM scorecards. Mach Learn. 2016;102:349-391.</w:t>
      </w:r>
    </w:p>
    <w:p>
      <w:pPr>
        <w:spacing w:after="40"/>
      </w:pPr>
      <w:r>
        <w:rPr>
          <w:rFonts w:ascii="Times New Roman" w:hAnsi="Times New Roman"/>
          <w:sz w:val="20"/>
        </w:rPr>
        <w:t>32. Ustun B, Rudin C. Optimized risk scores. JMLR. 2019;20(150):1-75.</w:t>
      </w:r>
    </w:p>
    <w:p>
      <w:pPr>
        <w:spacing w:after="40"/>
      </w:pPr>
      <w:r>
        <w:rPr>
          <w:rFonts w:ascii="Times New Roman" w:hAnsi="Times New Roman"/>
          <w:sz w:val="20"/>
        </w:rPr>
        <w:t>33. Rudin C. Stop explaining black boxes. Nat Mach Intell. 2019;1:206-215.</w:t>
      </w:r>
    </w:p>
    <w:p>
      <w:pPr>
        <w:spacing w:after="40"/>
      </w:pPr>
      <w:r>
        <w:rPr>
          <w:rFonts w:ascii="Times New Roman" w:hAnsi="Times New Roman"/>
          <w:sz w:val="20"/>
        </w:rPr>
        <w:t>34. Caruana R et al. Intelligible models for healthcare. KDD. 2015:1721-1730.</w:t>
      </w:r>
    </w:p>
    <w:p>
      <w:pPr>
        <w:spacing w:after="40"/>
      </w:pPr>
      <w:r>
        <w:rPr>
          <w:rFonts w:ascii="Times New Roman" w:hAnsi="Times New Roman"/>
          <w:sz w:val="20"/>
        </w:rPr>
        <w:t>35. Zeng J et al. Simple models vs deep learning. JCO CCI. 2022;6:e2100120.</w:t>
      </w:r>
    </w:p>
    <w:p>
      <w:pPr>
        <w:spacing w:after="40"/>
      </w:pPr>
      <w:r>
        <w:rPr>
          <w:rFonts w:ascii="Times New Roman" w:hAnsi="Times New Roman"/>
          <w:sz w:val="20"/>
        </w:rPr>
        <w:t>36. Knaus WA et al. APACHE II. Crit Care Med. 1985;13:818-829.</w:t>
      </w:r>
    </w:p>
    <w:p>
      <w:pPr>
        <w:spacing w:after="40"/>
      </w:pPr>
      <w:r>
        <w:rPr>
          <w:rFonts w:ascii="Times New Roman" w:hAnsi="Times New Roman"/>
          <w:sz w:val="20"/>
        </w:rPr>
        <w:t>37. Wells PS et al. Wells criteria for PE. Thromb Haemost. 2000;83:416-420.</w:t>
      </w:r>
    </w:p>
    <w:p>
      <w:pPr>
        <w:spacing w:after="40"/>
      </w:pPr>
      <w:r>
        <w:rPr>
          <w:rFonts w:ascii="Times New Roman" w:hAnsi="Times New Roman"/>
          <w:sz w:val="20"/>
        </w:rPr>
        <w:t>38. Lip GY et al. CHA2DS2-VASc. Chest. 2010;137:263-272.</w:t>
      </w:r>
    </w:p>
    <w:p>
      <w:pPr>
        <w:spacing w:after="40"/>
      </w:pPr>
      <w:r>
        <w:rPr>
          <w:rFonts w:ascii="Times New Roman" w:hAnsi="Times New Roman"/>
          <w:sz w:val="20"/>
        </w:rPr>
        <w:t>39. Troyanskaya O et al. KNN imputation. Bioinformatics. 2001;17:520-525.</w:t>
      </w:r>
    </w:p>
    <w:p>
      <w:pPr>
        <w:spacing w:after="40"/>
      </w:pPr>
      <w:r>
        <w:rPr>
          <w:rFonts w:ascii="Times New Roman" w:hAnsi="Times New Roman"/>
          <w:sz w:val="20"/>
        </w:rPr>
        <w:t>40. Bolstad BM et al. Quantile normalization. Bioinformatics. 2003;19:185-193.</w:t>
      </w:r>
    </w:p>
    <w:p>
      <w:pPr>
        <w:spacing w:after="40"/>
      </w:pPr>
      <w:r>
        <w:rPr>
          <w:rFonts w:ascii="Times New Roman" w:hAnsi="Times New Roman"/>
          <w:sz w:val="20"/>
        </w:rPr>
        <w:t>41. Hoerl AE, Kennard RW. Ridge regression. Technometrics. 1970;12:55-67.</w:t>
      </w:r>
    </w:p>
    <w:p>
      <w:pPr>
        <w:spacing w:after="40"/>
      </w:pPr>
      <w:r>
        <w:rPr>
          <w:rFonts w:ascii="Times New Roman" w:hAnsi="Times New Roman"/>
          <w:sz w:val="20"/>
        </w:rPr>
        <w:t>42. Chen T, Guestrin C. XGBoost. KDD. 2016:785-794.</w:t>
      </w:r>
    </w:p>
    <w:p>
      <w:pPr>
        <w:spacing w:after="40"/>
      </w:pPr>
      <w:r>
        <w:rPr>
          <w:rFonts w:ascii="Times New Roman" w:hAnsi="Times New Roman"/>
          <w:sz w:val="20"/>
        </w:rPr>
        <w:t>43. Prokhorenkova L et al. CatBoost. NeurIPS. 2018;31.</w:t>
      </w:r>
    </w:p>
    <w:p>
      <w:pPr>
        <w:spacing w:after="40"/>
      </w:pPr>
      <w:r>
        <w:rPr>
          <w:rFonts w:ascii="Times New Roman" w:hAnsi="Times New Roman"/>
          <w:sz w:val="20"/>
        </w:rPr>
        <w:t>44. Breiman L. Random forests. Mach Learn. 2001;45:5-32.</w:t>
      </w:r>
    </w:p>
    <w:p>
      <w:pPr>
        <w:spacing w:after="40"/>
      </w:pPr>
      <w:r>
        <w:rPr>
          <w:rFonts w:ascii="Times New Roman" w:hAnsi="Times New Roman"/>
          <w:sz w:val="20"/>
        </w:rPr>
        <w:t>45. Fraser CG, Harris EK. Biological variation. Crit Rev Clin Lab Sci. 1989;27:409-437.</w:t>
      </w:r>
    </w:p>
    <w:p>
      <w:pPr>
        <w:spacing w:after="40"/>
      </w:pPr>
      <w:r>
        <w:rPr>
          <w:rFonts w:ascii="Times New Roman" w:hAnsi="Times New Roman"/>
          <w:sz w:val="20"/>
        </w:rPr>
        <w:t>46. Ricos C et al. Biological variation databases. Scand J Clin Lab Invest. 1999;59:491-500.</w:t>
      </w:r>
    </w:p>
    <w:p>
      <w:pPr>
        <w:spacing w:after="40"/>
      </w:pPr>
      <w:r>
        <w:rPr>
          <w:rFonts w:ascii="Times New Roman" w:hAnsi="Times New Roman"/>
          <w:sz w:val="20"/>
        </w:rPr>
        <w:t>47. Efron B, Tibshirani RJ. An Introduction to the Bootstrap. CRC; 1994.</w:t>
      </w:r>
    </w:p>
    <w:p>
      <w:pPr>
        <w:spacing w:after="40"/>
      </w:pPr>
      <w:r>
        <w:rPr>
          <w:rFonts w:ascii="Times New Roman" w:hAnsi="Times New Roman"/>
          <w:sz w:val="20"/>
        </w:rPr>
        <w:t>48. World Medical Association. Declaration of Helsinki. JAMA. 2013;310:2191-2194.</w:t>
      </w:r>
    </w:p>
    <w:p>
      <w:pPr>
        <w:spacing w:after="40"/>
      </w:pPr>
      <w:r>
        <w:rPr>
          <w:rFonts w:ascii="Times New Roman" w:hAnsi="Times New Roman"/>
          <w:sz w:val="20"/>
        </w:rPr>
        <w:t>49. Kurman RJ et al. WHO Classification of Female Reproductive Tumours. IARC; 2014.</w:t>
      </w:r>
    </w:p>
    <w:p>
      <w:pPr>
        <w:spacing w:after="40"/>
      </w:pPr>
      <w:r>
        <w:rPr>
          <w:rFonts w:ascii="Times New Roman" w:hAnsi="Times New Roman"/>
          <w:sz w:val="20"/>
        </w:rPr>
        <w:t>50. Sterne JA et al. Multiple imputation. BMJ. 2009;338:b2393.</w:t>
      </w:r>
    </w:p>
    <w:p>
      <w:pPr>
        <w:spacing w:after="40"/>
      </w:pPr>
      <w:r>
        <w:rPr>
          <w:rFonts w:ascii="Times New Roman" w:hAnsi="Times New Roman"/>
          <w:sz w:val="20"/>
        </w:rPr>
        <w:t>51. Beretta L, Santaniello A. KNN imputation evaluation. BMC Med Inform Decis Mak. 2016;16(S3):74.</w:t>
      </w:r>
    </w:p>
    <w:p>
      <w:pPr>
        <w:spacing w:after="40"/>
      </w:pPr>
      <w:r>
        <w:rPr>
          <w:rFonts w:ascii="Times New Roman" w:hAnsi="Times New Roman"/>
          <w:sz w:val="20"/>
        </w:rPr>
        <w:t>52. Moons KG et al. TRIPOD explanation. Ann Intern Med. 2015;162:W1-73.</w:t>
      </w:r>
    </w:p>
    <w:p>
      <w:pPr>
        <w:spacing w:after="40"/>
      </w:pPr>
      <w:r>
        <w:rPr>
          <w:rFonts w:ascii="Times New Roman" w:hAnsi="Times New Roman"/>
          <w:sz w:val="20"/>
        </w:rPr>
        <w:t>53. Rubin DB. Multiple Imputation for Nonresponse. Wiley; 2004.</w:t>
      </w:r>
    </w:p>
    <w:p>
      <w:pPr>
        <w:spacing w:after="40"/>
      </w:pPr>
      <w:r>
        <w:rPr>
          <w:rFonts w:ascii="Times New Roman" w:hAnsi="Times New Roman"/>
          <w:sz w:val="20"/>
        </w:rPr>
        <w:t>54. Henderson KD et al. Menopause timing predictors. Am J Epidemiol. 2008;167:1287-1294.</w:t>
      </w:r>
    </w:p>
    <w:p>
      <w:pPr>
        <w:spacing w:after="40"/>
      </w:pPr>
      <w:r>
        <w:rPr>
          <w:rFonts w:ascii="Times New Roman" w:hAnsi="Times New Roman"/>
          <w:sz w:val="20"/>
        </w:rPr>
        <w:t>55. Cawley GC, Talbot NLC. Over-fitting in model selection. JMLR. 2010;11:2079-2107.</w:t>
      </w:r>
    </w:p>
    <w:p>
      <w:pPr>
        <w:spacing w:after="40"/>
      </w:pPr>
      <w:r>
        <w:rPr>
          <w:rFonts w:ascii="Times New Roman" w:hAnsi="Times New Roman"/>
          <w:sz w:val="20"/>
        </w:rPr>
        <w:t>56. Tibshirani R. Lasso regression. JRSSB. 1996;58:267-288.</w:t>
      </w:r>
    </w:p>
    <w:p>
      <w:pPr>
        <w:spacing w:after="40"/>
      </w:pPr>
      <w:r>
        <w:rPr>
          <w:rFonts w:ascii="Times New Roman" w:hAnsi="Times New Roman"/>
          <w:sz w:val="20"/>
        </w:rPr>
        <w:t>57. Moons KG et al. Risk prediction external validation. Heart. 2012;98:691-698.</w:t>
      </w:r>
    </w:p>
    <w:p>
      <w:pPr>
        <w:spacing w:after="40"/>
      </w:pPr>
      <w:r>
        <w:rPr>
          <w:rFonts w:ascii="Times New Roman" w:hAnsi="Times New Roman"/>
          <w:sz w:val="20"/>
        </w:rPr>
        <w:t>58. Pedregosa F et al. Scikit-learn. JMLR. 2011;12:2825-2830.</w:t>
      </w:r>
    </w:p>
    <w:p>
      <w:pPr>
        <w:spacing w:after="40"/>
      </w:pPr>
      <w:r>
        <w:rPr>
          <w:rFonts w:ascii="Times New Roman" w:hAnsi="Times New Roman"/>
          <w:sz w:val="20"/>
        </w:rPr>
        <w:t>59. Sturgeon CM et al. NACB tumor marker guidelines. Clin Chem. 2008;54:e11-79.</w:t>
      </w:r>
    </w:p>
    <w:p>
      <w:pPr>
        <w:spacing w:after="40"/>
      </w:pPr>
      <w:r>
        <w:rPr>
          <w:rFonts w:ascii="Times New Roman" w:hAnsi="Times New Roman"/>
          <w:sz w:val="20"/>
        </w:rPr>
        <w:t>60. Sendak MP et al. ML translation into healthcare. EMJ Innov. 2020;10:19-00172.</w:t>
      </w:r>
    </w:p>
    <w:p>
      <w:pPr>
        <w:spacing w:after="40"/>
      </w:pPr>
      <w:r>
        <w:rPr>
          <w:rFonts w:ascii="Times New Roman" w:hAnsi="Times New Roman"/>
          <w:sz w:val="20"/>
        </w:rPr>
        <w:t>61. Wiens J et al. Responsible ML for health care. Nat Med. 2019;25:1337-1340.</w:t>
      </w:r>
    </w:p>
    <w:p>
      <w:pPr>
        <w:spacing w:after="40"/>
      </w:pPr>
      <w:r>
        <w:rPr>
          <w:rFonts w:ascii="Times New Roman" w:hAnsi="Times New Roman"/>
          <w:sz w:val="20"/>
        </w:rPr>
        <w:t>62. Engelen MJ et al. Surgery by gynecologic oncologists improves survival. Cancer. 2006;106:589-598.</w:t>
      </w:r>
    </w:p>
    <w:p>
      <w:pPr>
        <w:spacing w:after="40"/>
      </w:pPr>
      <w:r>
        <w:rPr>
          <w:rFonts w:ascii="Times New Roman" w:hAnsi="Times New Roman"/>
          <w:sz w:val="20"/>
        </w:rPr>
        <w:t>63. Peduzzi P et al. Events per variable in logistic regression. J Clin Epidemiol. 1996;49:1373-1379.</w:t>
      </w:r>
    </w:p>
    <w:p>
      <w:pPr>
        <w:spacing w:after="40"/>
      </w:pPr>
      <w:r>
        <w:rPr>
          <w:rFonts w:ascii="Times New Roman" w:hAnsi="Times New Roman"/>
          <w:sz w:val="20"/>
        </w:rPr>
        <w:t>64. [Dataset 1] Chinese Ovarian Cancer Dataset. Mendeley Data. DOI: 10.17632/th7fztbrv9.11.</w:t>
      </w:r>
    </w:p>
    <w:p>
      <w:pPr>
        <w:spacing w:after="40"/>
      </w:pPr>
      <w:r>
        <w:rPr>
          <w:rFonts w:ascii="Times New Roman" w:hAnsi="Times New Roman"/>
          <w:sz w:val="20"/>
        </w:rPr>
        <w:t>65. [Dataset 2] Ovarian cancer vs. ovarian cyst patients. figshare. DOI: 10.6084/m9.figshare.28831256.</w:t>
      </w:r>
    </w:p>
    <w:p>
      <w:pPr>
        <w:spacing w:after="40"/>
      </w:pPr>
      <w:r>
        <w:rPr>
          <w:rFonts w:ascii="Times New Roman" w:hAnsi="Times New Roman"/>
          <w:sz w:val="20"/>
        </w:rPr>
        <w:t>66. [Dataset 3] Revised HE4 Cut-Off Value. Karger figshare. DOI: 10.6084/m9.figshare.24235450.</w:t>
      </w:r>
    </w:p>
    <w:p>
      <w:pPr>
        <w:pStyle w:val="Heading1"/>
        <w:jc w:val="left"/>
      </w:pPr>
      <w:r>
        <w:rPr>
          <w:rFonts w:ascii="Times New Roman" w:hAnsi="Times New Roman" w:eastAsia="Times New Roman"/>
          <w:sz w:val="28"/>
        </w:rPr>
        <w:t>Declarations</w:t>
      </w:r>
    </w:p>
    <w:p>
      <w:pPr>
        <w:pStyle w:val="Heading2"/>
        <w:jc w:val="left"/>
      </w:pPr>
      <w:r>
        <w:rPr>
          <w:rFonts w:ascii="Times New Roman" w:hAnsi="Times New Roman" w:eastAsia="Times New Roman"/>
          <w:sz w:val="26"/>
        </w:rPr>
        <w:t>Ethics approval</w:t>
      </w:r>
    </w:p>
    <w:p>
      <w:pPr>
        <w:spacing w:after="120"/>
      </w:pPr>
      <w:r>
        <w:rPr>
          <w:rFonts w:ascii="Times New Roman" w:hAnsi="Times New Roman" w:eastAsia="Times New Roman"/>
          <w:sz w:val="24"/>
        </w:rPr>
        <w:t>Secondary analysis of publicly available de-identified datasets. Exempt from additional IRB review.</w:t>
      </w:r>
    </w:p>
    <w:p>
      <w:pPr>
        <w:pStyle w:val="Heading2"/>
        <w:jc w:val="left"/>
      </w:pPr>
      <w:r>
        <w:rPr>
          <w:rFonts w:ascii="Times New Roman" w:hAnsi="Times New Roman" w:eastAsia="Times New Roman"/>
          <w:sz w:val="26"/>
        </w:rPr>
        <w:t>Data availability</w:t>
      </w:r>
    </w:p>
    <w:p>
      <w:pPr>
        <w:spacing w:after="120"/>
      </w:pPr>
      <w:r>
        <w:rPr>
          <w:rFonts w:ascii="Times New Roman" w:hAnsi="Times New Roman" w:eastAsia="Times New Roman"/>
          <w:sz w:val="24"/>
        </w:rPr>
        <w:t>All datasets publicly available at listed DOIs. Code: https://github.com/angelayaoo/Ovarian-Cancer-RiskSLIM.</w:t>
      </w:r>
    </w:p>
    <w:p>
      <w:pPr>
        <w:pStyle w:val="Heading2"/>
        <w:jc w:val="left"/>
      </w:pPr>
      <w:r>
        <w:rPr>
          <w:rFonts w:ascii="Times New Roman" w:hAnsi="Times New Roman" w:eastAsia="Times New Roman"/>
          <w:sz w:val="26"/>
        </w:rPr>
        <w:t>Competing interests</w:t>
      </w:r>
    </w:p>
    <w:p>
      <w:pPr>
        <w:spacing w:after="120"/>
      </w:pPr>
      <w:r>
        <w:rPr>
          <w:rFonts w:ascii="Times New Roman" w:hAnsi="Times New Roman" w:eastAsia="Times New Roman"/>
          <w:sz w:val="24"/>
        </w:rPr>
        <w:t>None declared.</w:t>
      </w:r>
    </w:p>
    <w:p>
      <w:pPr>
        <w:pStyle w:val="Heading2"/>
        <w:jc w:val="left"/>
      </w:pPr>
      <w:r>
        <w:rPr>
          <w:rFonts w:ascii="Times New Roman" w:hAnsi="Times New Roman" w:eastAsia="Times New Roman"/>
          <w:sz w:val="26"/>
        </w:rPr>
        <w:t>Funding</w:t>
      </w:r>
    </w:p>
    <w:p>
      <w:pPr>
        <w:spacing w:after="120"/>
      </w:pPr>
      <w:r>
        <w:rPr>
          <w:rFonts w:ascii="Times New Roman" w:hAnsi="Times New Roman" w:eastAsia="Times New Roman"/>
          <w:sz w:val="24"/>
        </w:rPr>
        <w:t>[To be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