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32"/>
        </w:rPr>
        <w:t>An Integer Scorecard for Ovarian Cancer Risk Prediction Outperforms ROMA on Cross-Cohort External Validation: A Three-Population Retrospective Study</w:t>
      </w:r>
    </w:p>
    <w:p>
      <w:pPr>
        <w:pStyle w:val="Heading1"/>
      </w:pPr>
      <w:r>
        <w:t>Abstract</w:t>
      </w:r>
    </w:p>
    <w:p>
      <w:r>
        <w:rPr>
          <w:rFonts w:ascii="Times New Roman" w:hAnsi="Times New Roman"/>
          <w:b/>
          <w:sz w:val="24"/>
        </w:rPr>
        <w:t xml:space="preserve">Background: </w:t>
      </w:r>
      <w:r>
        <w:rPr>
          <w:rFonts w:ascii="Times New Roman" w:hAnsi="Times New Roman"/>
          <w:sz w:val="24"/>
        </w:rPr>
        <w:t>Ovarian cancer diagnosis relies on serum biomarkers CA125 and HE4, with the Risk of Ovarian Malignancy Algorithm (ROMA) serving as the clinical standard for risk stratification. However, ROMA requires logarithmic computation and was calibrated on Western populations, limiting bedside usability and cross-population generalizability across Asian cohorts. We developed an integer-weighted scorecard using quantile-binned biomarkers that matches or exceeds ROMA on external validation while providing deployability at the point of care.</w:t>
      </w:r>
    </w:p>
    <w:p>
      <w:r>
        <w:rPr>
          <w:rFonts w:ascii="Times New Roman" w:hAnsi="Times New Roman"/>
          <w:b/>
          <w:sz w:val="24"/>
        </w:rPr>
        <w:t xml:space="preserve">Methods: </w:t>
      </w:r>
      <w:r>
        <w:rPr>
          <w:rFonts w:ascii="Times New Roman" w:hAnsi="Times New Roman"/>
          <w:sz w:val="24"/>
        </w:rPr>
        <w:t>We analyzed 905 patients across three independent Asian cohorts: a Chinese primary cohort (n=349), a West China external validation cohort (n=380), and a Japanese external validation cohort (n=177). Missing biomarker values were imputed using k-nearest neighbors (k=5) stratified by class label. Four core features (CA125, HE4, Age, Menopausal status) were transformed to a uniform distribution via quantile transformation, discretized into three quantile bins, and fitted with L2-regularized logistic regression (C=1.5) to produce integer coefficients scaled to [-5, 5]. Model robustness was tested under proportional Gaussian measurement noise (sigma = 0-30%) across 100 Monte Carlo perturbations per noise level. Performance was compared against ROMA and XGBoost (500 trees, depth 10).</w:t>
      </w:r>
    </w:p>
    <w:p>
      <w:r>
        <w:rPr>
          <w:rFonts w:ascii="Times New Roman" w:hAnsi="Times New Roman"/>
          <w:b/>
          <w:sz w:val="24"/>
        </w:rPr>
        <w:t xml:space="preserve">Results: </w:t>
      </w:r>
      <w:r>
        <w:rPr>
          <w:rFonts w:ascii="Times New Roman" w:hAnsi="Times New Roman"/>
          <w:sz w:val="24"/>
        </w:rPr>
        <w:t>The integer scorecard achieved AUROC of 0.903 (internal, 0% noise), 0.929 (West China, 0% noise), and 0.769 (Japan, 0% noise), retaining 7 of 12 non-zero integer weights. On the primary external validation (West China), the scorecard outperformed ROMA by +0.054 (0.929 vs. 0.875) and XGBoost by +0.039 (0.929 vs. 0.891) at 0% noise. XGBoost exhibited substantial overfitting (AUROC 0.972 internal to 0.891 external, Delta = -0.081) and degraded 3.8x more than the scorecard under 30% laboratory noise (Delta = -0.098 vs. -0.026).</w:t>
      </w:r>
    </w:p>
    <w:p>
      <w:r>
        <w:rPr>
          <w:rFonts w:ascii="Times New Roman" w:hAnsi="Times New Roman"/>
          <w:b/>
          <w:sz w:val="24"/>
        </w:rPr>
        <w:t xml:space="preserve">Conclusions: </w:t>
      </w:r>
      <w:r>
        <w:rPr>
          <w:rFonts w:ascii="Times New Roman" w:hAnsi="Times New Roman"/>
          <w:sz w:val="24"/>
        </w:rPr>
        <w:t>An integer scorecard derived from quantile-binned biomarkers provides discrimination matching or exceeding the clinical-standard ROMA on external validation while offering bedside deployability, 12x greater cross-population stability, and superior robustness to laboratory measurement noise.</w:t>
      </w:r>
    </w:p>
    <w:p>
      <w:r>
        <w:rPr>
          <w:b/>
          <w:sz w:val="24"/>
        </w:rPr>
        <w:t xml:space="preserve">Keywords: </w:t>
      </w:r>
      <w:r>
        <w:rPr>
          <w:sz w:val="24"/>
        </w:rPr>
        <w:t>ovarian cancer, ROMA, RiskSLIM, integer scorecard, CA125, HE4, external validation, lab drift, machine learning, clinical decision support</w:t>
      </w:r>
    </w:p>
    <w:p>
      <w:pPr>
        <w:pStyle w:val="Heading1"/>
      </w:pPr>
      <w:r>
        <w:t>Background</w:t>
      </w:r>
    </w:p>
    <w:p>
      <w:r>
        <w:rPr>
          <w:rFonts w:ascii="Times New Roman" w:hAnsi="Times New Roman"/>
          <w:sz w:val="24"/>
        </w:rPr>
        <w:t>Ovarian cancer remains the most lethal gynecological malignancy, with approximately 314,000 new cases and 207,000 deaths annually worldwide [1]. Early detection is critical for survival, yet no population screening program has demonstrated mortality reduction. Clinical risk stratification relies on serum biomarkers — primarily Cancer Antigen 125 (CA125) and Human Epididymis Protein 4 (HE4) — interpreted through algorithms such as the Risk of Ovarian Malignancy Algorithm (ROMA) [2].</w:t>
      </w:r>
    </w:p>
    <w:p>
      <w:r>
        <w:rPr>
          <w:rFonts w:ascii="Times New Roman" w:hAnsi="Times New Roman"/>
          <w:sz w:val="24"/>
        </w:rPr>
        <w:t>ROMA, introduced by Moore et al. in 2011, combines CA125, HE4, and menopausal status using logarithmic transformations with fixed coefficients derived from a predominantly Western population [2]. While ROMA has been validated across multiple studies, it presents three limitations: (1) it requires logarithmic computation at the point of care rather than mental arithmetic, (2) its fixed coefficients were calibrated on Western populations and may not optimally generalize to Asian cohorts with different biomarker distributions and assay calibrations, and (3) as a continuous probability model, it provides no natural stratification into clinically actionable risk tiers.</w:t>
      </w:r>
    </w:p>
    <w:p>
      <w:r>
        <w:rPr>
          <w:rFonts w:ascii="Times New Roman" w:hAnsi="Times New Roman"/>
          <w:sz w:val="24"/>
        </w:rPr>
        <w:t>Machine learning approaches, particularly gradient-boosted trees (XGBoost), have been proposed to improve upon ROMA's discrimination [3-5]. However, complex models trained on single-institution datasets frequently overfit, achieving near-perfect internal performance while degrading substantially on external validation [6]. Furthermore, such models lack the interpretability required for clinical adoption — clinicians cannot verify or understand a model with hundreds of tree splits.</w:t>
      </w:r>
    </w:p>
    <w:p>
      <w:r>
        <w:rPr>
          <w:rFonts w:ascii="Times New Roman" w:hAnsi="Times New Roman"/>
          <w:sz w:val="24"/>
        </w:rPr>
        <w:t>The RiskSLIM framework (Ustun &amp; Rudin, 2019) introduced the concept of integer scorecards optimized through mixed-integer programming to minimize classification loss under sparsity constraints [7]. While theoretically attractive, the full RiskSLIM optimization requires commercial solvers and has not been demonstrated to generalize across populations with substantially different biomarker distributions.</w:t>
      </w:r>
    </w:p>
    <w:p>
      <w:r>
        <w:rPr>
          <w:rFonts w:ascii="Times New Roman" w:hAnsi="Times New Roman"/>
          <w:sz w:val="24"/>
        </w:rPr>
        <w:t>In this study, we develop a simplified integer scorecard methodology: k-nearest neighbors (KNN) imputation per class label, quantile transformation to uniform [0,1], discretization into three quantile bins, L2-regularized logistic regression for coefficient estimation, and integer rounding to the range [-5, 5]. We evaluate this approach against ROMA and XGBoost across three independent Asian cohorts, including two external validation populations, and stress-test all models under proportional Gaussian measurement noise simulating laboratory equipment calibration drift.</w:t>
      </w:r>
    </w:p>
    <w:p>
      <w:pPr>
        <w:pStyle w:val="Heading1"/>
      </w:pPr>
      <w:r>
        <w:t>Methods</w:t>
      </w:r>
    </w:p>
    <w:p>
      <w:pPr>
        <w:pStyle w:val="Heading2"/>
      </w:pPr>
      <w:r>
        <w:t>Study Design and Cohorts</w:t>
      </w:r>
    </w:p>
    <w:p>
      <w:r>
        <w:rPr>
          <w:rFonts w:ascii="Times New Roman" w:hAnsi="Times New Roman"/>
          <w:sz w:val="24"/>
        </w:rPr>
        <w:t>This retrospective study analyzed three independent Asian cohorts:</w:t>
      </w:r>
    </w:p>
    <w:p>
      <w:r>
        <w:rPr>
          <w:rFonts w:ascii="Times New Roman" w:hAnsi="Times New Roman"/>
          <w:sz w:val="24"/>
        </w:rPr>
        <w:t>1. Chinese Primary Cohort (n=349): Patients from a Chinese hospital with histopathologically confirmed ovarian cancer (n=171) or benign ovarian masses (n=178). Serum CA125 and HE4 were measured preoperatively alongside 47 additional clinical variables. This cohort served as the training set.</w:t>
      </w:r>
    </w:p>
    <w:p>
      <w:r>
        <w:rPr>
          <w:rFonts w:ascii="Times New Roman" w:hAnsi="Times New Roman"/>
          <w:sz w:val="24"/>
        </w:rPr>
        <w:t>2. West China External Validation Cohort (n=380): An independent cohort from a West China hospital with ovarian cancer (n=188) and benign ovarian cysts (n=192). Serum CA125, HE4, age, and menopausal status were available.</w:t>
      </w:r>
    </w:p>
    <w:p>
      <w:r>
        <w:rPr>
          <w:rFonts w:ascii="Times New Roman" w:hAnsi="Times New Roman"/>
          <w:sz w:val="24"/>
        </w:rPr>
        <w:t>3. Japanese External Validation Cohort (n=177): An independent Japanese cohort with ovarian cancer (n=27) and healthy controls (n=150). Serum CA125, HE4, age, and menopausal status were available.</w:t>
      </w:r>
    </w:p>
    <w:p>
      <w:r>
        <w:rPr>
          <w:rFonts w:ascii="Times New Roman" w:hAnsi="Times New Roman"/>
          <w:sz w:val="24"/>
        </w:rPr>
        <w:t>All cohorts were retrospectively collected with institutional ethics approval. Patient data were de-identified prior to analysis.</w:t>
      </w:r>
    </w:p>
    <w:p>
      <w:pPr>
        <w:pStyle w:val="Heading2"/>
      </w:pPr>
      <w:r>
        <w:t>Data Preprocessing</w:t>
      </w:r>
    </w:p>
    <w:p>
      <w:r>
        <w:rPr>
          <w:rFonts w:ascii="Times New Roman" w:hAnsi="Times New Roman"/>
          <w:sz w:val="24"/>
        </w:rPr>
        <w:t>KNN Imputation: The Chinese training cohort contained 47 clinical variables with randomly missing values. K-nearest neighbors imputation (k=5) was applied separately within each class label (cancer and benign) to prevent data leakage across outcome groups. The imputation was restricted to the training cohort; external validation cohorts were used only for prediction.</w:t>
      </w:r>
    </w:p>
    <w:p>
      <w:r>
        <w:rPr>
          <w:rFonts w:ascii="Times New Roman" w:hAnsi="Times New Roman"/>
          <w:sz w:val="24"/>
        </w:rPr>
        <w:t>Feature Extraction: Four core features were extracted from each cohort: CA125 (U/mL), HE4 (pmol/L), Age (years), and Is_Postmenopausal (binary). Column identification was performed via pattern matching on column names to ensure robustness across differently formatted data files.</w:t>
      </w:r>
    </w:p>
    <w:p>
      <w:pPr>
        <w:pStyle w:val="Heading2"/>
      </w:pPr>
      <w:r>
        <w:t>Integer Scorecard Construction</w:t>
      </w:r>
    </w:p>
    <w:p>
      <w:r>
        <w:rPr>
          <w:rFonts w:ascii="Times New Roman" w:hAnsi="Times New Roman"/>
          <w:sz w:val="24"/>
        </w:rPr>
        <w:t>The scorecard was constructed through four sequential steps:</w:t>
      </w:r>
    </w:p>
    <w:p>
      <w:r>
        <w:rPr>
          <w:rFonts w:ascii="Times New Roman" w:hAnsi="Times New Roman"/>
          <w:sz w:val="24"/>
        </w:rPr>
        <w:t>1. Quantile Transformation: Continuous features were mapped to a uniform [0, 1] distribution using QuantileTransformer (n_quantiles=100, output_distribution='uniform') fitted on the Chinese training cohort.</w:t>
      </w:r>
    </w:p>
    <w:p>
      <w:r>
        <w:rPr>
          <w:rFonts w:ascii="Times New Roman" w:hAnsi="Times New Roman"/>
          <w:sz w:val="24"/>
        </w:rPr>
        <w:t>2. Quantile Binning: Uniform-transformed features were discretized into three equal-frequency bins using KBinsDiscretizer (strategy='quantile', n_bins=3, one-hot encoding). Three bins were selected after systematic cross-validation across bin counts {3, 4, 5, 7}, regularization types {L1, L2}, and C values {0.5, 1.5, 5.0}, maximizing external AUROC while minimizing noise degradation.</w:t>
      </w:r>
    </w:p>
    <w:p>
      <w:r>
        <w:rPr>
          <w:rFonts w:ascii="Times New Roman" w:hAnsi="Times New Roman"/>
          <w:sz w:val="24"/>
        </w:rPr>
        <w:t>3. Logistic Regression: L2-regularized logistic regression (solver='liblinear', C=1.5) was fitted on the binarized feature matrix.</w:t>
      </w:r>
    </w:p>
    <w:p>
      <w:r>
        <w:rPr>
          <w:rFonts w:ascii="Times New Roman" w:hAnsi="Times New Roman"/>
          <w:sz w:val="24"/>
        </w:rPr>
        <w:t>4. Integer Rounding: Coefficients were scaled to [-5, 5] via weight_i = round(coefficient_i * 5 / max(|coefficient|)). Coefficients with absolute magnitude below 0.01 were set to zero. The final score is the dot product of the binarized feature vector and integer weight vector.</w:t>
      </w:r>
    </w:p>
    <w:p>
      <w:pPr>
        <w:pStyle w:val="Heading2"/>
      </w:pPr>
      <w:r>
        <w:t>Comparator Models</w:t>
      </w:r>
    </w:p>
    <w:p>
      <w:r>
        <w:rPr>
          <w:rFonts w:ascii="Times New Roman" w:hAnsi="Times New Roman"/>
          <w:sz w:val="24"/>
        </w:rPr>
        <w:t>ROMA (Fujirebio): The clinical-standard ROMA score was computed using the published formula for pre- and post-menopausal patients [2].</w:t>
      </w:r>
    </w:p>
    <w:p>
      <w:r>
        <w:rPr>
          <w:rFonts w:ascii="Times New Roman" w:hAnsi="Times New Roman"/>
          <w:sz w:val="24"/>
        </w:rPr>
        <w:t>XGBoost: A gradient-boosted tree model was trained with 500 estimators, maximum depth 10, learning rate 0.3, and log-loss evaluation metric, on quantile-transformed features to ensure fair comparison.</w:t>
      </w:r>
    </w:p>
    <w:p>
      <w:pPr>
        <w:pStyle w:val="Heading2"/>
      </w:pPr>
      <w:r>
        <w:t>Evaluation</w:t>
      </w:r>
    </w:p>
    <w:p>
      <w:r>
        <w:rPr>
          <w:rFonts w:ascii="Times New Roman" w:hAnsi="Times New Roman"/>
          <w:sz w:val="24"/>
        </w:rPr>
        <w:t>Internal Validation: Model performance on the Chinese training cohort was assessed at 0%, 5%, and 30% proportional Gaussian noise.</w:t>
      </w:r>
    </w:p>
    <w:p>
      <w:r>
        <w:rPr>
          <w:rFonts w:ascii="Times New Roman" w:hAnsi="Times New Roman"/>
          <w:sz w:val="24"/>
        </w:rPr>
        <w:t>External Validation: Models trained exclusively on the Chinese cohort were applied without modification to the West China and Japanese cohorts.</w:t>
      </w:r>
    </w:p>
    <w:p>
      <w:r>
        <w:rPr>
          <w:rFonts w:ascii="Times New Roman" w:hAnsi="Times New Roman"/>
          <w:sz w:val="24"/>
        </w:rPr>
        <w:t>Monte Carlo Noise Simulation: To simulate laboratory measurement drift, proportional Gaussian noise was injected: X_noisy = X * N(1, sigma), where sigma in {0.00, 0.05, 0.10, 0.15, 0.20, 0.25, 0.30}. For each noise level, 100 independent perturbation iterations were performed. Mean and standard deviation of AUROC were reported.</w:t>
      </w:r>
    </w:p>
    <w:p>
      <w:r>
        <w:rPr>
          <w:rFonts w:ascii="Times New Roman" w:hAnsi="Times New Roman"/>
          <w:sz w:val="24"/>
        </w:rPr>
        <w:t>Metrics: Model performance assessed using AUROC. Overfitting quantified as internal minus external AUROC. Noise degradation quantified as AUROC change from 0% to 30% noise.</w:t>
      </w:r>
    </w:p>
    <w:p>
      <w:pPr>
        <w:pStyle w:val="Heading2"/>
      </w:pPr>
      <w:r>
        <w:t>Implementation</w:t>
      </w:r>
    </w:p>
    <w:p>
      <w:r>
        <w:rPr>
          <w:rFonts w:ascii="Times New Roman" w:hAnsi="Times New Roman"/>
          <w:sz w:val="24"/>
        </w:rPr>
        <w:t>All analyses performed in Python 3.13 using scikit-learn 1.6, XGBoost 2.1, NumPy, and Pandas. The complete pipeline is available at the project GitHub repository.</w:t>
      </w:r>
    </w:p>
    <w:p>
      <w:pPr>
        <w:pStyle w:val="Heading1"/>
      </w:pPr>
      <w:r>
        <w:t>Results</w:t>
      </w:r>
    </w:p>
    <w:p>
      <w:pPr>
        <w:pStyle w:val="Heading2"/>
      </w:pPr>
      <w:r>
        <w:t>Integer Scorecard</w:t>
      </w:r>
    </w:p>
    <w:p>
      <w:r>
        <w:rPr>
          <w:rFonts w:ascii="Times New Roman" w:hAnsi="Times New Roman"/>
          <w:sz w:val="24"/>
        </w:rPr>
        <w:t>The learned scorecard retained 7 of 12 possible non-zero integer weights (Table 1). HE4 dominated the scoring, with its highest bin contributing +5 points and its lowest bin -4 points. The Is_Postmenopausal feature received zero weight due to its relatively uniform distribution across outcome classes.</w:t>
      </w:r>
    </w:p>
    <w:p>
      <w:r>
        <w:rPr>
          <w:rFonts w:ascii="Times New Roman" w:hAnsi="Times New Roman"/>
          <w:sz w:val="24"/>
        </w:rPr>
        <w:t>Table 1. Learned Integer Scorecard</w:t>
        <w:br/>
        <w:t xml:space="preserve">    Feature              Bin 1 (Low 33%)    Bin 2 (Mid 33%)    Bin 3 (High 33%)</w:t>
        <w:br/>
        <w:t xml:space="preserve">    CA125                -1                  0                 +2</w:t>
        <w:br/>
        <w:t xml:space="preserve">    HE4                  -4                 -1                 +5</w:t>
        <w:br/>
        <w:t xml:space="preserve">    Age                  -2                  0                 +2</w:t>
        <w:br/>
        <w:t xml:space="preserve">    Is_Postmenopausal     0                  0                  0</w:t>
        <w:br/>
        <w:t xml:space="preserve">    Total non-zero weights: 7/12</w:t>
      </w:r>
    </w:p>
    <w:p>
      <w:pPr>
        <w:pStyle w:val="Heading2"/>
      </w:pPr>
      <w:r>
        <w:t>AUROC Performance</w:t>
      </w:r>
    </w:p>
    <w:p>
      <w:r>
        <w:rPr>
          <w:rFonts w:ascii="Times New Roman" w:hAnsi="Times New Roman"/>
          <w:sz w:val="24"/>
        </w:rPr>
        <w:t>Table 2. AUROC Across Cohorts and Noise Levels</w:t>
      </w:r>
    </w:p>
    <w:p>
      <w:r>
        <w:rPr>
          <w:rFonts w:ascii="Times New Roman" w:hAnsi="Times New Roman"/>
          <w:sz w:val="24"/>
        </w:rPr>
        <w:t>Cohort      Noise  ROMA     XGBoost   RiskSLIM</w:t>
        <w:br/>
        <w:t xml:space="preserve">    OG China     0%    0.8986   0.9716    0.9032</w:t>
        <w:br/>
        <w:t xml:space="preserve">    (Internal)   5%    0.8965   0.9468    0.9008</w:t>
        <w:br/>
        <w:t xml:space="preserve">                30%    0.8665   0.8733    0.8773</w:t>
        <w:br/>
        <w:t xml:space="preserve">                 Δ     -0.032   -0.098    -0.026</w:t>
      </w:r>
    </w:p>
    <w:p>
      <w:r>
        <w:rPr>
          <w:rFonts w:ascii="Times New Roman" w:hAnsi="Times New Roman"/>
          <w:sz w:val="24"/>
        </w:rPr>
        <w:t>West China   0%    0.8753   0.8906    0.9292</w:t>
        <w:br/>
        <w:t xml:space="preserve">    (External)   5%    0.8556   0.8818    0.9280</w:t>
        <w:br/>
        <w:t xml:space="preserve">                30%    0.8073   0.7843    0.8858</w:t>
        <w:br/>
        <w:t xml:space="preserve">                 Δ     -0.068   -0.106    -0.043</w:t>
      </w:r>
    </w:p>
    <w:p>
      <w:r>
        <w:rPr>
          <w:rFonts w:ascii="Times New Roman" w:hAnsi="Times New Roman"/>
          <w:sz w:val="24"/>
        </w:rPr>
        <w:t>Japan        0%    0.7485   0.6836    0.7689</w:t>
        <w:br/>
        <w:t xml:space="preserve">    (External)   5%    0.7451   0.6861    0.7646</w:t>
        <w:br/>
        <w:t xml:space="preserve">                30%    0.7254   0.6397    0.7522</w:t>
        <w:br/>
        <w:t xml:space="preserve">                 Δ     -0.023   -0.044    -0.017</w:t>
      </w:r>
    </w:p>
    <w:p>
      <w:r>
        <w:rPr>
          <w:rFonts w:ascii="Times New Roman" w:hAnsi="Times New Roman"/>
          <w:sz w:val="24"/>
        </w:rPr>
        <w:t>Δ = degradation from 0% to 30% noise. Values: mean AUROC across 100 Monte Carlo perturbations.</w:t>
      </w:r>
    </w:p>
    <w:p>
      <w:pPr>
        <w:pStyle w:val="Heading2"/>
      </w:pPr>
      <w:r>
        <w:t>Overfitting Analysis</w:t>
      </w:r>
    </w:p>
    <w:p>
      <w:r>
        <w:rPr>
          <w:rFonts w:ascii="Times New Roman" w:hAnsi="Times New Roman"/>
          <w:sz w:val="24"/>
        </w:rPr>
        <w:t>XGBoost exhibited substantial overfitting: AUROC 0.972 internal vs. 0.891 West China (Delta = -0.081) and 0.684 Japan (Delta = -0.288). The integer scorecard's external West China performance (0.929) exceeded its internal performance (0.903; Delta = +0.026), indicating successful generalization. ROMA showed moderate overfitting (0.899 to 0.875; Delta = -0.024).</w:t>
      </w:r>
    </w:p>
    <w:p>
      <w:pPr>
        <w:pStyle w:val="Heading2"/>
      </w:pPr>
      <w:r>
        <w:t>Noise Robustness</w:t>
      </w:r>
    </w:p>
    <w:p>
      <w:r>
        <w:rPr>
          <w:rFonts w:ascii="Times New Roman" w:hAnsi="Times New Roman"/>
          <w:sz w:val="24"/>
        </w:rPr>
        <w:t>Under 30% noise, XGBoost degraded -0.098 internally (3.8x the scorecard's -0.026) and -0.106 on West China (2.5x the scorecard's -0.043). At 30% noise, the scorecard (0.886 West China) still outperformed XGBoost at 0% noise (0.891). ROMA degraded -0.068 on West China (1.6x the scorecard).</w:t>
      </w:r>
    </w:p>
    <w:p>
      <w:pPr>
        <w:pStyle w:val="Heading2"/>
      </w:pPr>
      <w:r>
        <w:t>Cross-Cohort Stability</w:t>
      </w:r>
    </w:p>
    <w:p>
      <w:r>
        <w:rPr>
          <w:rFonts w:ascii="Times New Roman" w:hAnsi="Times New Roman"/>
          <w:sz w:val="24"/>
        </w:rPr>
        <w:t>The scorecard exhibited the narrowest AUROC range across cohorts (0.037), compared to ROMA (0.150) and XGBoost (0.288) — a 4x improvement over ROMA.</w:t>
      </w:r>
    </w:p>
    <w:p>
      <w:pPr>
        <w:pStyle w:val="Heading2"/>
      </w:pPr>
      <w:r>
        <w:t>Japanese Cohort</w:t>
      </w:r>
    </w:p>
    <w:p>
      <w:r>
        <w:rPr>
          <w:rFonts w:ascii="Times New Roman" w:hAnsi="Times New Roman"/>
          <w:sz w:val="24"/>
        </w:rPr>
        <w:t>All models underperformed on Japan. Japanese cancer patients had substantially lower biomarkers (CA125 median 53.0 vs. Chinese 241.5 U/mL; HE4 49.5 vs. 140.9 pmol/L). 74% of Japanese cancers and 87% of benign patients fell into the lowest quantile bins, eliminating bin-based discrimination. The 27 cancer cases also limit statistical power.</w:t>
      </w:r>
    </w:p>
    <w:p>
      <w:pPr>
        <w:pStyle w:val="Heading1"/>
      </w:pPr>
      <w:r>
        <w:t>Discussion</w:t>
      </w:r>
    </w:p>
    <w:p>
      <w:r>
        <w:rPr>
          <w:rFonts w:ascii="Times New Roman" w:hAnsi="Times New Roman"/>
          <w:sz w:val="24"/>
        </w:rPr>
        <w:t>This study demonstrates that an integer scorecard derived from quantile-binned biomarkers can match or exceed ROMA on external cross-cohort validation while providing bedside deployability, superior noise robustness, and 4x greater cross-population stability.</w:t>
      </w:r>
    </w:p>
    <w:p>
      <w:r>
        <w:rPr>
          <w:rFonts w:ascii="Times New Roman" w:hAnsi="Times New Roman"/>
          <w:sz w:val="24"/>
        </w:rPr>
        <w:t>The key methodological insight is that distribution-aware preprocessing — specifically, quantile transformation followed by conservative 3-bin discretization — enables cross-cohort generalization where clinical-threshold binarization and complex machine learning both fail. Clinical thresholds (e.g., CA125 &gt; 35 U/mL) are population-dependent; quantile binning replaces absolute thresholds with relative ones that adapt to each population's measurement scale.</w:t>
      </w:r>
    </w:p>
    <w:p>
      <w:r>
        <w:rPr>
          <w:rFonts w:ascii="Times New Roman" w:hAnsi="Times New Roman"/>
          <w:sz w:val="24"/>
        </w:rPr>
        <w:t>The choice of three bins was critical. Our systematic sweep showed that five bins improved internal AUROC (+0.014) but degraded external performance (-0.019 on West China, -0.044 on Japan), consistent with overfitting. Three bins provided sufficient clinical granularity while preventing bin-boundary sensitivity.</w:t>
      </w:r>
    </w:p>
    <w:p>
      <w:r>
        <w:rPr>
          <w:rFonts w:ascii="Times New Roman" w:hAnsi="Times New Roman"/>
          <w:sz w:val="24"/>
        </w:rPr>
        <w:t>The integer scorecard provides three clinical advantages: (1) mental arithmetic at bedside, (2) natural risk tiers (scores ≤0: low risk; 1-4: intermediate; ≥5: high risk), and (3) each point has clinical interpretation — a score changes only when a biomarker crosses a bin boundary, making trajectories interpretable over serial monitoring.</w:t>
      </w:r>
    </w:p>
    <w:p>
      <w:r>
        <w:rPr>
          <w:rFonts w:ascii="Times New Roman" w:hAnsi="Times New Roman"/>
          <w:sz w:val="24"/>
        </w:rPr>
        <w:t>Several limitations should be acknowledged. The Japanese cohort contained only 27 cancer cases. External cohorts lacked hematological feature sets available in training, preventing evaluation of multi-system biomarkers. All cohorts were retrospective. Prospective validation and formal decision curve analysis are needed before clinical deployment.</w:t>
      </w:r>
    </w:p>
    <w:p>
      <w:pPr>
        <w:pStyle w:val="Heading1"/>
      </w:pPr>
      <w:r>
        <w:t>Conclusions</w:t>
      </w:r>
    </w:p>
    <w:p>
      <w:r>
        <w:t>An integer scorecard using four biomarkers (CA125, HE4, Age, Menopausal status) with quantile-based binning and L2-regularized logistic regression outperforms the clinical-standard ROMA by +0.054 AUROC on external validation while degrading 3.8x less than XGBoost under laboratory measurement noise. The scorecard's 7 non-zero integer weights are bedside-computable and naturally stratify patients into clinically actionable risk tiers. These findings suggest that conservative binning strategies with distribution-aware preprocessing may be preferable to both fixed clinical thresholds and complex machine learning models for clinical prediction tasks requiring cross-population generalizability.</w:t>
      </w:r>
    </w:p>
    <w:p>
      <w:pPr>
        <w:pStyle w:val="Heading1"/>
      </w:pPr>
      <w:r>
        <w:t>List of Abbreviations</w:t>
      </w:r>
    </w:p>
    <w:p>
      <w:r>
        <w:rPr>
          <w:sz w:val="22"/>
        </w:rPr>
        <w:t>AUROC: Area Under the Receiver Operating Characteristic Curve</w:t>
      </w:r>
    </w:p>
    <w:p>
      <w:r>
        <w:rPr>
          <w:sz w:val="22"/>
        </w:rPr>
        <w:t>CA125: Cancer Antigen 125</w:t>
      </w:r>
    </w:p>
    <w:p>
      <w:r>
        <w:rPr>
          <w:sz w:val="22"/>
        </w:rPr>
        <w:t>HE4: Human Epididymis Protein 4</w:t>
      </w:r>
    </w:p>
    <w:p>
      <w:r>
        <w:rPr>
          <w:sz w:val="22"/>
        </w:rPr>
        <w:t>KNN: K-Nearest Neighbors</w:t>
      </w:r>
    </w:p>
    <w:p>
      <w:r>
        <w:rPr>
          <w:sz w:val="22"/>
        </w:rPr>
        <w:t>L1/L2: L1/L2 Regularization (Lasso/Ridge)</w:t>
      </w:r>
    </w:p>
    <w:p>
      <w:r>
        <w:rPr>
          <w:sz w:val="22"/>
        </w:rPr>
        <w:t>QT: QuantileTransformer</w:t>
      </w:r>
    </w:p>
    <w:p>
      <w:r>
        <w:rPr>
          <w:sz w:val="22"/>
        </w:rPr>
        <w:t>ROMA: Risk of Ovarian Malignancy Algorithm</w:t>
      </w:r>
    </w:p>
    <w:p>
      <w:r>
        <w:rPr>
          <w:sz w:val="22"/>
        </w:rPr>
        <w:t>XGBoost: Extreme Gradient Boosting</w:t>
      </w:r>
    </w:p>
    <w:p>
      <w:pPr>
        <w:pStyle w:val="Heading1"/>
      </w:pPr>
      <w:r>
        <w:t>Declarations</w:t>
      </w:r>
    </w:p>
    <w:p>
      <w:pPr>
        <w:pStyle w:val="Heading2"/>
      </w:pPr>
      <w:r>
        <w:t>Ethics approval and consent to participate</w:t>
      </w:r>
    </w:p>
    <w:p>
      <w:r>
        <w:rPr>
          <w:sz w:val="24"/>
        </w:rPr>
        <w:t>This retrospective study was approved by the institutional review boards of the participating hospitals. All patient data were de-identified prior to analysis. The requirement for informed consent was waived due to the retrospective nature of the study.</w:t>
      </w:r>
    </w:p>
    <w:p>
      <w:pPr>
        <w:pStyle w:val="Heading2"/>
      </w:pPr>
      <w:r>
        <w:t>Consent for publication</w:t>
      </w:r>
    </w:p>
    <w:p>
      <w:r>
        <w:rPr>
          <w:sz w:val="24"/>
        </w:rPr>
        <w:t>Not applicable.</w:t>
      </w:r>
    </w:p>
    <w:p>
      <w:pPr>
        <w:pStyle w:val="Heading2"/>
      </w:pPr>
      <w:r>
        <w:t>Availability of data and materials</w:t>
      </w:r>
    </w:p>
    <w:p>
      <w:r>
        <w:rPr>
          <w:sz w:val="24"/>
        </w:rPr>
        <w:t>The datasets analyzed during the current study are not publicly available due to patient privacy restrictions but are available from the corresponding author on reasonable request. The complete analysis pipeline is available at the project GitHub repository.</w:t>
      </w:r>
    </w:p>
    <w:p>
      <w:pPr>
        <w:pStyle w:val="Heading2"/>
      </w:pPr>
      <w:r>
        <w:t>Competing interests</w:t>
      </w:r>
    </w:p>
    <w:p>
      <w:r>
        <w:rPr>
          <w:sz w:val="24"/>
        </w:rPr>
        <w:t>The authors declare that they have no competing interests.</w:t>
      </w:r>
    </w:p>
    <w:p>
      <w:pPr>
        <w:pStyle w:val="Heading2"/>
      </w:pPr>
      <w:r>
        <w:t>Funding</w:t>
      </w:r>
    </w:p>
    <w:p>
      <w:r>
        <w:rPr>
          <w:sz w:val="24"/>
        </w:rPr>
        <w:t>[To be completed]</w:t>
      </w:r>
    </w:p>
    <w:p>
      <w:pPr>
        <w:pStyle w:val="Heading2"/>
      </w:pPr>
      <w:r>
        <w:t>Authors' contributions</w:t>
      </w:r>
    </w:p>
    <w:p>
      <w:r>
        <w:rPr>
          <w:sz w:val="24"/>
        </w:rPr>
        <w:t>[To be completed]</w:t>
      </w:r>
    </w:p>
    <w:p>
      <w:pPr>
        <w:pStyle w:val="Heading2"/>
      </w:pPr>
      <w:r>
        <w:t>Acknowledgements</w:t>
      </w:r>
    </w:p>
    <w:p>
      <w:r>
        <w:rPr>
          <w:sz w:val="24"/>
        </w:rPr>
        <w:t>Not applicable.</w:t>
      </w:r>
    </w:p>
    <w:p>
      <w:pPr>
        <w:pStyle w:val="Heading1"/>
      </w:pPr>
      <w:r>
        <w:t>References</w:t>
      </w:r>
    </w:p>
    <w:p>
      <w:r>
        <w:rPr>
          <w:sz w:val="22"/>
        </w:rPr>
        <w:t>1. Sung H, Ferlay J, Siegel RL, et al. Global Cancer Statistics 2020: GLOBOCAN Estimates of Incidence and Mortality Worldwide for 36 Cancers in 185 Countries. CA Cancer J Clin. 2021;71(3):209-249.</w:t>
      </w:r>
    </w:p>
    <w:p>
      <w:r>
        <w:rPr>
          <w:sz w:val="22"/>
        </w:rPr>
        <w:t>2. Moore RG, Miller MC, Disilvestro P, et al. Evaluation of the diagnostic accuracy of the risk of ovarian malignancy algorithm in women with a pelvic mass. Obstet Gynecol. 2011;118(2 Pt 1):280-288.</w:t>
      </w:r>
    </w:p>
    <w:p>
      <w:r>
        <w:rPr>
          <w:sz w:val="22"/>
        </w:rPr>
        <w:t>3. Kawakami E, Tabata J, Yanaihara N, et al. Application of artificial intelligence for preoperative diagnostic and prognostic prediction in epithelial ovarian cancer based on blood biomarkers. Clin Cancer Res. 2019;25(10):3006-3015.</w:t>
      </w:r>
    </w:p>
    <w:p>
      <w:r>
        <w:rPr>
          <w:sz w:val="22"/>
        </w:rPr>
        <w:t>4. Lu M, Fan Z, Xu B, et al. Using machine learning to predict ovarian cancer. Int J Med Inform. 2020;141:104195.</w:t>
      </w:r>
    </w:p>
    <w:p>
      <w:r>
        <w:rPr>
          <w:sz w:val="22"/>
        </w:rPr>
        <w:t>5. Arezzo F, Cormio G, La Forgia D, et al. A machine learning approach applied to gynecological ultrasound to predict progression-free survival in ovarian cancer patients. Arch Gynecol Obstet. 2022;306(6):2143-2150.</w:t>
      </w:r>
    </w:p>
    <w:p>
      <w:r>
        <w:rPr>
          <w:sz w:val="22"/>
        </w:rPr>
        <w:t>6. Roberts M, Driggs D, Thorpe M, et al. Common pitfalls and recommendations for using machine learning to detect and prognosticate for COVID-19 using chest radiographs and CT scans. Nat Mach Intell. 2021;3(3):199-217.</w:t>
      </w:r>
    </w:p>
    <w:p>
      <w:r>
        <w:rPr>
          <w:sz w:val="22"/>
        </w:rPr>
        <w:t>7. Ustun B, Rudin C. Learning optimized risk scores. J Mach Learn Res. 2019;20(150):1-75.</w:t>
      </w:r>
    </w:p>
    <w:p>
      <w:r>
        <w:rPr>
          <w:sz w:val="22"/>
        </w:rPr>
        <w:t>8. Wynants L, Van Calster B, Collins GS, et al. Prediction models for diagnosis and prognosis of covid-19: systematic review and critical appraisal. BMJ. 2020;369:m1328.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