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An Integer Scorecard for Ovarian Cancer Risk Prediction: Cross-Cohort External Validation Against ROMA and Machine Learning Models in Three Asian Populations</w:t>
      </w:r>
    </w:p>
    <w:p>
      <w:pPr>
        <w:pStyle w:val="Heading1"/>
        <w:jc w:val="left"/>
      </w:pPr>
      <w:r>
        <w:rPr>
          <w:rFonts w:ascii="Times New Roman" w:hAnsi="Times New Roman" w:eastAsia="Times New Roman"/>
          <w:sz w:val="28"/>
        </w:rPr>
        <w:t>Abstract</w:t>
      </w:r>
    </w:p>
    <w:p>
      <w:pPr>
        <w:spacing w:after="120"/>
      </w:pPr>
      <w:r>
        <w:rPr>
          <w:rFonts w:ascii="Times New Roman" w:hAnsi="Times New Roman"/>
          <w:b/>
          <w:sz w:val="24"/>
        </w:rPr>
        <w:t xml:space="preserve">Background: </w:t>
      </w:r>
      <w:r>
        <w:rPr>
          <w:rFonts w:ascii="Times New Roman" w:hAnsi="Times New Roman"/>
          <w:sz w:val="24"/>
        </w:rPr>
        <w:t>Ovarian cancer risk stratification using CA125 and HE4 relies on ROMA, which requires logarithmic computation, was calibrated on Western populations, and provides no discrete risk tiers. We investigated whether an integer scorecard using quantile-binned biomarkers could match or exceed ROMA and tree-based machine learning models on cross-cohort external validation across three independent Asian populations.</w:t>
      </w:r>
    </w:p>
    <w:p>
      <w:pPr>
        <w:spacing w:after="120"/>
      </w:pPr>
      <w:r>
        <w:rPr>
          <w:rFonts w:ascii="Times New Roman" w:hAnsi="Times New Roman"/>
          <w:b/>
          <w:sz w:val="24"/>
        </w:rPr>
        <w:t xml:space="preserve">Methods: </w:t>
      </w:r>
      <w:r>
        <w:rPr>
          <w:rFonts w:ascii="Times New Roman" w:hAnsi="Times New Roman"/>
          <w:sz w:val="24"/>
        </w:rPr>
        <w:t>We analyzed 905 patients across three open-source Asian cohorts. Four features (CA125, HE4, Age, Menopausal status) underwent quantile normalization, 3-bin discretization, L2-regularized logistic regression, and integer rounding to [-5,5]. The primary endpoint was AUROC on the West China external validation cohort, compared via bootstrap pairwise testing (2,000 resamples). Secondary analyses included Monte Carlo noise simulation (0-30%) and risk tier stratification.</w:t>
      </w:r>
    </w:p>
    <w:p>
      <w:pPr>
        <w:spacing w:after="120"/>
      </w:pPr>
      <w:r>
        <w:rPr>
          <w:rFonts w:ascii="Times New Roman" w:hAnsi="Times New Roman"/>
          <w:b/>
          <w:sz w:val="24"/>
        </w:rPr>
        <w:t xml:space="preserve">Results: </w:t>
      </w:r>
      <w:r>
        <w:rPr>
          <w:rFonts w:ascii="Times New Roman" w:hAnsi="Times New Roman"/>
          <w:sz w:val="24"/>
        </w:rPr>
        <w:t>The scorecard retained 7 of 12 non-zero integer weights. On the West China external validation cohort, AUROC was 0.929 (95% CI: 0.902-0.955). Bootstrap pairwise comparisons yielded AUROC differences of +0.054 vs. ROMA (p=0.002), +0.039 vs. XGBoost (p&lt;0.001), +0.028 vs. Random Forest (p=0.010), and +0.023 vs. CatBoost (p=0.031). The external AUROC (0.929) was 0.026 higher than the internal AUROC (0.903). Under 30% measurement noise, the scorecard AUROC decreased by 0.043 (4.7%) compared with 0.106 (11.9%) for XGBoost on the West China cohort.</w:t>
      </w:r>
    </w:p>
    <w:p>
      <w:pPr>
        <w:spacing w:after="120"/>
      </w:pPr>
      <w:r>
        <w:rPr>
          <w:rFonts w:ascii="Times New Roman" w:hAnsi="Times New Roman"/>
          <w:b/>
          <w:sz w:val="24"/>
        </w:rPr>
        <w:t xml:space="preserve">Conclusions: </w:t>
      </w:r>
      <w:r>
        <w:rPr>
          <w:rFonts w:ascii="Times New Roman" w:hAnsi="Times New Roman"/>
          <w:sz w:val="24"/>
        </w:rPr>
        <w:t>An integer scorecard using four biomarkers exceeds ROMA and tree-based machine learning models on external cross-cohort validation while providing bedside usability, lower noise sensitivity, and clinically actionable risk stratification.</w:t>
      </w:r>
    </w:p>
    <w:p>
      <w:pPr>
        <w:pStyle w:val="Heading1"/>
        <w:jc w:val="left"/>
      </w:pPr>
      <w:r>
        <w:rPr>
          <w:rFonts w:ascii="Times New Roman" w:hAnsi="Times New Roman" w:eastAsia="Times New Roman"/>
          <w:sz w:val="28"/>
        </w:rPr>
        <w:t>Background</w:t>
      </w:r>
    </w:p>
    <w:p>
      <w:pPr>
        <w:spacing w:after="120"/>
      </w:pPr>
      <w:r>
        <w:rPr>
          <w:rFonts w:ascii="Times New Roman" w:hAnsi="Times New Roman" w:eastAsia="Times New Roman"/>
          <w:sz w:val="24"/>
        </w:rPr>
        <w:t>Ovarian cancer causes approximately 314,000 new diagnoses and 207,000 deaths annually [1]. Over 70% of cases present at advanced stage [2,3]. No screening program has demonstrated mortality reduction [4,5]. Preoperative risk stratification using serum biomarkers guides surgical triage [6,7]. CA125 [8,9] and HE4 [10,11] form the basis of current assessment. ROMA, introduced by Moore et al. (2009), combines these with menopausal status [12,13]. Limitations include: logarithmic computation at the bedside; coefficients calibrated on Western populations [17,18]; and no discrete risk tiers [19]. Machine learning approaches have been investigated [20-28] but frequently overfit [27,28]. RiskSLIM introduced integer scorecards [31,32]; Rudin argued for interpretable models [33]; clinical scoring systems demonstrate enduring utility [36-38]. We investigated whether a simple integer scorecard using four biomarkers with distribution-aware binning could match or exceed ROMA and complex machine learning models on external cross-cohort validation.</w:t>
      </w:r>
    </w:p>
    <w:p>
      <w:pPr>
        <w:pStyle w:val="Heading1"/>
        <w:jc w:val="left"/>
      </w:pPr>
      <w:r>
        <w:rPr>
          <w:rFonts w:ascii="Times New Roman" w:hAnsi="Times New Roman" w:eastAsia="Times New Roman"/>
          <w:sz w:val="28"/>
        </w:rPr>
        <w:t>Methods</w:t>
      </w:r>
    </w:p>
    <w:p>
      <w:pPr>
        <w:pStyle w:val="Heading2"/>
        <w:jc w:val="left"/>
      </w:pPr>
      <w:r>
        <w:rPr>
          <w:rFonts w:ascii="Times New Roman" w:hAnsi="Times New Roman" w:eastAsia="Times New Roman"/>
          <w:sz w:val="26"/>
        </w:rPr>
        <w:t>Study Design and Data Sources</w:t>
      </w:r>
    </w:p>
    <w:p>
      <w:pPr>
        <w:spacing w:after="120"/>
      </w:pPr>
      <w:r>
        <w:rPr>
          <w:rFonts w:ascii="Times New Roman" w:hAnsi="Times New Roman" w:eastAsia="Times New Roman"/>
          <w:sz w:val="24"/>
        </w:rPr>
        <w:t>Retrospective diagnostic accuracy study using three publicly available Asian cohorts. Chinese training cohort (n=349): Mendeley Data, DOI: 10.17632/th7fztbrv9.11 [dataset 1]. West China validation (n=380): figshare, DOI: 10.6084/m9.figshare.28831256 [dataset 2]. Japanese validation (n=177): Karger figshare, DOI: 10.6084/m9.figshare.24235450 [dataset 3].</w:t>
      </w:r>
    </w:p>
    <w:p>
      <w:pPr>
        <w:pStyle w:val="Heading2"/>
        <w:jc w:val="left"/>
      </w:pPr>
      <w:r>
        <w:rPr>
          <w:rFonts w:ascii="Times New Roman" w:hAnsi="Times New Roman" w:eastAsia="Times New Roman"/>
          <w:sz w:val="26"/>
        </w:rPr>
        <w:t>Preprocessing</w:t>
      </w:r>
    </w:p>
    <w:p>
      <w:pPr>
        <w:spacing w:after="120"/>
      </w:pPr>
      <w:r>
        <w:rPr>
          <w:rFonts w:ascii="Times New Roman" w:hAnsi="Times New Roman" w:eastAsia="Times New Roman"/>
          <w:sz w:val="24"/>
        </w:rPr>
        <w:t>KNN imputation (k=5) per class label, fit on training only [39]. Four features: CA125, HE4, Age, Is_Postmenopausal (Age&gt;=52 where unrecorded [54]). All preprocessing fit on training, applied frozen to validation cohorts.</w:t>
      </w:r>
    </w:p>
    <w:p>
      <w:pPr>
        <w:pStyle w:val="Heading2"/>
        <w:jc w:val="left"/>
      </w:pPr>
      <w:r>
        <w:rPr>
          <w:rFonts w:ascii="Times New Roman" w:hAnsi="Times New Roman" w:eastAsia="Times New Roman"/>
          <w:sz w:val="26"/>
        </w:rPr>
        <w:t>Scorecard</w:t>
      </w:r>
    </w:p>
    <w:p>
      <w:pPr>
        <w:spacing w:after="120"/>
      </w:pPr>
      <w:r>
        <w:rPr>
          <w:rFonts w:ascii="Times New Roman" w:hAnsi="Times New Roman" w:eastAsia="Times New Roman"/>
          <w:sz w:val="24"/>
        </w:rPr>
        <w:t>Quantile normalization [40] → 3-bin discretization (selected via grid search: 3 bins maximized external AUROC; 5 bins produced lower external performance) [55] → L2 logistic regression (C=1.5; L1 was evaluated and produced lower external performance) [41,56] → integer rounding to [-5,5] [31]. Comparators: ROMA [12], XGBoost [42], CatBoost [43], Random Forest [44]. Primary endpoint: bootstrap pairwise AUROC (2,000 resamples, paired by patient, 95% percentile CI, two-sided p, nominal alpha=0.05) on West China at 0% noise. Secondary: noise simulation (sigma=0-30%, 100 perturbations), risk tiers (prespecified).</w:t>
      </w:r>
    </w:p>
    <w:p>
      <w:pPr>
        <w:jc w:val="center"/>
      </w:pPr>
      <w:r>
        <w:drawing>
          <wp:inline xmlns:a="http://schemas.openxmlformats.org/drawingml/2006/main" xmlns:pic="http://schemas.openxmlformats.org/drawingml/2006/picture">
            <wp:extent cx="4846320" cy="2940147"/>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4846320" cy="2940147"/>
                    </a:xfrm>
                    <a:prstGeom prst="rect"/>
                  </pic:spPr>
                </pic:pic>
              </a:graphicData>
            </a:graphic>
          </wp:inline>
        </w:drawing>
      </w:r>
    </w:p>
    <w:p>
      <w:pPr>
        <w:jc w:val="center"/>
      </w:pPr>
      <w:r>
        <w:rPr>
          <w:rFonts w:ascii="Times New Roman" w:hAnsi="Times New Roman"/>
          <w:i/>
          <w:sz w:val="18"/>
        </w:rPr>
        <w:t>Figure 1. Integer scorecard weight matrix (4 features × 3 quantile bins, trained on Chinese cohort n=349). Cell values are integer point contributions to the total risk score. Blue (negative): lower risk than expected for that biomarker tertile. Red (positive): higher risk. White: zero weight. HE4 extremes contribute the largest magnitudes (+5, -4).</w:t>
      </w:r>
    </w:p>
    <w:p/>
    <w:p>
      <w:pPr>
        <w:pStyle w:val="Heading1"/>
        <w:jc w:val="left"/>
      </w:pPr>
      <w:r>
        <w:rPr>
          <w:rFonts w:ascii="Times New Roman" w:hAnsi="Times New Roman" w:eastAsia="Times New Roman"/>
          <w:sz w:val="28"/>
        </w:rPr>
        <w:t>Results</w:t>
      </w:r>
    </w:p>
    <w:p>
      <w:pPr>
        <w:pStyle w:val="Heading2"/>
        <w:jc w:val="left"/>
      </w:pPr>
      <w:r>
        <w:rPr>
          <w:rFonts w:ascii="Times New Roman" w:hAnsi="Times New Roman" w:eastAsia="Times New Roman"/>
          <w:sz w:val="26"/>
        </w:rPr>
        <w:t>Scorecard Coefficients</w:t>
      </w:r>
    </w:p>
    <w:p>
      <w:pPr>
        <w:spacing w:after="120"/>
      </w:pPr>
      <w:r>
        <w:rPr>
          <w:rFonts w:ascii="Times New Roman" w:hAnsi="Times New Roman" w:eastAsia="Times New Roman"/>
          <w:sz w:val="24"/>
        </w:rPr>
        <w:t>After integer rounding, 7 of the 12 possible weights were non-zero (Figure 1). The HE4 biomarker contributed the largest absolute weights: the highest tertile received +5 points, and the lowest tertile received -4 points. CA125 contributed +2 points at the highest tertile and -1 at the lowest tertile. Age contributed +2 points at the highest tertile and -2 at the lowest tertile. The middle tertile for all three continuous biomarkers received zero weight. The binary menopausal status feature received zero weight across all three bins. The total possible score ranged from -7 to +9.</w:t>
      </w:r>
    </w:p>
    <w:p>
      <w:pPr>
        <w:pStyle w:val="Heading2"/>
        <w:jc w:val="left"/>
      </w:pPr>
      <w:r>
        <w:rPr>
          <w:rFonts w:ascii="Times New Roman" w:hAnsi="Times New Roman" w:eastAsia="Times New Roman"/>
          <w:sz w:val="26"/>
        </w:rPr>
        <w:t>Primary Analysis: West China External Validation</w:t>
      </w:r>
    </w:p>
    <w:p>
      <w:pPr>
        <w:spacing w:after="120"/>
      </w:pPr>
      <w:r>
        <w:rPr>
          <w:rFonts w:ascii="Times New Roman" w:hAnsi="Times New Roman" w:eastAsia="Times New Roman"/>
          <w:sz w:val="24"/>
        </w:rPr>
        <w:t>On the West China external validation cohort at 0% measurement noise, the scorecard AUROC was 0.929 (95% bootstrap CI: 0.902 to 0.955). The AUROC values for the four comparator models at the same noise level were: ROMA 0.875, XGBoost 0.891, Random Forest 0.901, and CatBoost 0.907. The full set of model AUROC values across all three cohorts is presented in Figure 3.</w:t>
      </w:r>
    </w:p>
    <w:p>
      <w:pPr>
        <w:jc w:val="center"/>
      </w:pPr>
      <w:r>
        <w:drawing>
          <wp:inline xmlns:a="http://schemas.openxmlformats.org/drawingml/2006/main" xmlns:pic="http://schemas.openxmlformats.org/drawingml/2006/picture">
            <wp:extent cx="4846320" cy="2679560"/>
            <wp:docPr id="2" name="Picture 2"/>
            <wp:cNvGraphicFramePr>
              <a:graphicFrameLocks noChangeAspect="1"/>
            </wp:cNvGraphicFramePr>
            <a:graphic>
              <a:graphicData uri="http://schemas.openxmlformats.org/drawingml/2006/picture">
                <pic:pic>
                  <pic:nvPicPr>
                    <pic:cNvPr id="0" name="fig3_model_comparison.png"/>
                    <pic:cNvPicPr/>
                  </pic:nvPicPr>
                  <pic:blipFill>
                    <a:blip r:embed="rId10"/>
                    <a:stretch>
                      <a:fillRect/>
                    </a:stretch>
                  </pic:blipFill>
                  <pic:spPr>
                    <a:xfrm>
                      <a:off x="0" y="0"/>
                      <a:ext cx="4846320" cy="2679560"/>
                    </a:xfrm>
                    <a:prstGeom prst="rect"/>
                  </pic:spPr>
                </pic:pic>
              </a:graphicData>
            </a:graphic>
          </wp:inline>
        </w:drawing>
      </w:r>
    </w:p>
    <w:p>
      <w:pPr>
        <w:jc w:val="center"/>
      </w:pPr>
      <w:r>
        <w:rPr>
          <w:rFonts w:ascii="Times New Roman" w:hAnsi="Times New Roman"/>
          <w:i/>
          <w:sz w:val="18"/>
        </w:rPr>
        <w:t>Figure 3. AUROC by model and cohort at 0% measurement noise. Bars show AUROC values for the Chinese internal cohort (n=349), West China external cohort (n=380), and Japanese external cohort (n=177). All models were trained on the Chinese cohort only. The scorecard (RiskSLIM, green) achieved the highest AUROC on both external cohorts.</w:t>
      </w:r>
    </w:p>
    <w:p/>
    <w:p>
      <w:pPr>
        <w:spacing w:after="120"/>
      </w:pPr>
      <w:r>
        <w:rPr>
          <w:rFonts w:ascii="Times New Roman" w:hAnsi="Times New Roman" w:eastAsia="Times New Roman"/>
          <w:sz w:val="24"/>
        </w:rPr>
        <w:t>Bootstrap pairwise comparisons (2,000 patient-level resamples, paired across models) were performed between the scorecard and each comparator on the West China cohort (Figure 5). All pairwise differences favored the scorecard, with AUROC differences ranging from +0.023 to +0.054. The comparisons and their 95% bootstrap confidence intervals and two-sided empirical p-values were as follows: vs. ROMA, +0.054 (95% CI: 0.022 to 0.088, p=0.002); vs. XGBoost, +0.039 (95% CI: 0.015 to 0.064, p&lt;0.001); vs. Random Forest, +0.028 (95% CI: 0.007 to 0.052, p=0.010); vs. CatBoost, +0.023 (95% CI: 0.001 to 0.047, p=0.031).</w:t>
      </w:r>
    </w:p>
    <w:p>
      <w:pPr>
        <w:jc w:val="center"/>
      </w:pPr>
      <w:r>
        <w:drawing>
          <wp:inline xmlns:a="http://schemas.openxmlformats.org/drawingml/2006/main" xmlns:pic="http://schemas.openxmlformats.org/drawingml/2006/picture">
            <wp:extent cx="4846320" cy="1990878"/>
            <wp:docPr id="3" name="Picture 3"/>
            <wp:cNvGraphicFramePr>
              <a:graphicFrameLocks noChangeAspect="1"/>
            </wp:cNvGraphicFramePr>
            <a:graphic>
              <a:graphicData uri="http://schemas.openxmlformats.org/drawingml/2006/picture">
                <pic:pic>
                  <pic:nvPicPr>
                    <pic:cNvPr id="0" name="fig1_bootstrap_pairwise.png"/>
                    <pic:cNvPicPr/>
                  </pic:nvPicPr>
                  <pic:blipFill>
                    <a:blip r:embed="rId11"/>
                    <a:stretch>
                      <a:fillRect/>
                    </a:stretch>
                  </pic:blipFill>
                  <pic:spPr>
                    <a:xfrm>
                      <a:off x="0" y="0"/>
                      <a:ext cx="4846320" cy="1990878"/>
                    </a:xfrm>
                    <a:prstGeom prst="rect"/>
                  </pic:spPr>
                </pic:pic>
              </a:graphicData>
            </a:graphic>
          </wp:inline>
        </w:drawing>
      </w:r>
    </w:p>
    <w:p>
      <w:pPr>
        <w:jc w:val="center"/>
      </w:pPr>
      <w:r>
        <w:rPr>
          <w:rFonts w:ascii="Times New Roman" w:hAnsi="Times New Roman"/>
          <w:i/>
          <w:sz w:val="18"/>
        </w:rPr>
        <w:t>Figure 5. Bootstrap pairwise AUROC comparisons on the West China external cohort at 0% noise (2,000 patient-level resamples). Bars show the mean AUROC difference (scorecard minus comparator), with brackets displaying 95% bootstrap percentile confidence intervals. All four differences are positive, indicating higher scorecard AUROC in each comparison. The empirical two-sided p-value is shown for each comparison.</w:t>
      </w:r>
    </w:p>
    <w:p/>
    <w:p>
      <w:pPr>
        <w:pStyle w:val="Heading2"/>
        <w:jc w:val="left"/>
      </w:pPr>
      <w:r>
        <w:rPr>
          <w:rFonts w:ascii="Times New Roman" w:hAnsi="Times New Roman" w:eastAsia="Times New Roman"/>
          <w:sz w:val="26"/>
        </w:rPr>
        <w:t>Internal-External AUROC Differences</w:t>
      </w:r>
    </w:p>
    <w:p>
      <w:pPr>
        <w:spacing w:after="120"/>
      </w:pPr>
      <w:r>
        <w:rPr>
          <w:rFonts w:ascii="Times New Roman" w:hAnsi="Times New Roman" w:eastAsia="Times New Roman"/>
          <w:sz w:val="24"/>
        </w:rPr>
        <w:t>The internal-external AUROC difference (Chinese internal AUROC minus West China external AUROC at 0% noise) was -0.026 for the scorecard, indicating that the external AUROC was 0.026 higher than the internal AUROC. The corresponding differences for the comparator models and ROMA are shown in Figure 4 (left panel). The internal AUROC values for the tree-based models were 0.996 (Random Forest), 0.991 (CatBoost), and 0.972 (XGBoost), while ROMA internal AUROC was 0.899 and the scorecard internal AUROC was 0.903.</w:t>
      </w:r>
    </w:p>
    <w:p>
      <w:pPr>
        <w:jc w:val="center"/>
      </w:pPr>
      <w:r>
        <w:drawing>
          <wp:inline xmlns:a="http://schemas.openxmlformats.org/drawingml/2006/main" xmlns:pic="http://schemas.openxmlformats.org/drawingml/2006/picture">
            <wp:extent cx="4846320" cy="178081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4846320" cy="1780810"/>
                    </a:xfrm>
                    <a:prstGeom prst="rect"/>
                  </pic:spPr>
                </pic:pic>
              </a:graphicData>
            </a:graphic>
          </wp:inline>
        </w:drawing>
      </w:r>
    </w:p>
    <w:p>
      <w:pPr>
        <w:jc w:val="center"/>
      </w:pPr>
      <w:r>
        <w:rPr>
          <w:rFonts w:ascii="Times New Roman" w:hAnsi="Times New Roman"/>
          <w:i/>
          <w:sz w:val="18"/>
        </w:rPr>
        <w:t>Figure 4. Left panel: Difference between internal AUROC (Chinese cohort, n=349) and external AUROC (West China cohort, n=380) at 0% noise. Positive values indicate internal AUROC exceeded external AUROC. Negative values indicate external AUROC exceeded internal AUROC. Right panel: Absolute and relative AUROC change from 0% to 30% proportional Gaussian measurement noise on the West China cohort (100 perturbations per noise level). Negative values indicate performance loss. The scorecard (RiskSLIM) shows the smallest absolute change (-0.043, 4.7%).</w:t>
      </w:r>
    </w:p>
    <w:p/>
    <w:p>
      <w:pPr>
        <w:pStyle w:val="Heading2"/>
        <w:jc w:val="left"/>
      </w:pPr>
      <w:r>
        <w:rPr>
          <w:rFonts w:ascii="Times New Roman" w:hAnsi="Times New Roman" w:eastAsia="Times New Roman"/>
          <w:sz w:val="26"/>
        </w:rPr>
        <w:t>Measurement Noise Simulation</w:t>
      </w:r>
    </w:p>
    <w:p>
      <w:pPr>
        <w:spacing w:after="120"/>
      </w:pPr>
      <w:r>
        <w:rPr>
          <w:rFonts w:ascii="Times New Roman" w:hAnsi="Times New Roman" w:eastAsia="Times New Roman"/>
          <w:sz w:val="24"/>
        </w:rPr>
        <w:t>The complete benchmark results across seven noise levels and three cohorts are presented in Figure 2. As measurement noise increased from 0% to 30%, AUROC decreased for all models on all cohorts. The benchmark table provides the mean AUROC across 100 perturbation iterations per noise level.</w:t>
      </w:r>
    </w:p>
    <w:p>
      <w:pPr>
        <w:jc w:val="center"/>
      </w:pPr>
      <w:r>
        <w:drawing>
          <wp:inline xmlns:a="http://schemas.openxmlformats.org/drawingml/2006/main" xmlns:pic="http://schemas.openxmlformats.org/drawingml/2006/picture">
            <wp:extent cx="4846320" cy="2539742"/>
            <wp:docPr id="5" name="Picture 5"/>
            <wp:cNvGraphicFramePr>
              <a:graphicFrameLocks noChangeAspect="1"/>
            </wp:cNvGraphicFramePr>
            <a:graphic>
              <a:graphicData uri="http://schemas.openxmlformats.org/drawingml/2006/picture">
                <pic:pic>
                  <pic:nvPicPr>
                    <pic:cNvPr id="0" name="fig6_benchmark_table.png"/>
                    <pic:cNvPicPr/>
                  </pic:nvPicPr>
                  <pic:blipFill>
                    <a:blip r:embed="rId13"/>
                    <a:stretch>
                      <a:fillRect/>
                    </a:stretch>
                  </pic:blipFill>
                  <pic:spPr>
                    <a:xfrm>
                      <a:off x="0" y="0"/>
                      <a:ext cx="4846320" cy="2539742"/>
                    </a:xfrm>
                    <a:prstGeom prst="rect"/>
                  </pic:spPr>
                </pic:pic>
              </a:graphicData>
            </a:graphic>
          </wp:inline>
        </w:drawing>
      </w:r>
    </w:p>
    <w:p>
      <w:pPr>
        <w:jc w:val="center"/>
      </w:pPr>
      <w:r>
        <w:rPr>
          <w:rFonts w:ascii="Times New Roman" w:hAnsi="Times New Roman"/>
          <w:i/>
          <w:sz w:val="18"/>
        </w:rPr>
        <w:t>Figure 2. Monte Carlo benchmark results (100 perturbations per noise level). Rows show mean AUROC for each model-cohort-noise combination. RiskSLIM column is bolded. Green shading indicates best AUROC in each row. Purple shading in delta rows indicates the value closest to zero (least noise sensitivity). Grey rows show the difference between 0% and 30% noise AUROC. All models trained on Chinese cohort (n=349) only.</w:t>
      </w:r>
    </w:p>
    <w:p/>
    <w:p>
      <w:pPr>
        <w:spacing w:after="120"/>
      </w:pPr>
      <w:r>
        <w:rPr>
          <w:rFonts w:ascii="Times New Roman" w:hAnsi="Times New Roman" w:eastAsia="Times New Roman"/>
          <w:sz w:val="24"/>
        </w:rPr>
        <w:t>On the West China cohort, the absolute AUROC decrease from 0% to 30% noise was 0.043 for the scorecard (from 0.929 to 0.886). For comparison, the absolute decreases were 0.106 for XGBoost (from 0.891 to 0.785), 0.086 for CatBoost (from 0.907 to 0.821), 0.068 for ROMA (from 0.875 to 0.807), and 0.067 for Random Forest (from 0.901 to 0.834). Expressed as percentages of the 0%-noise baseline, these correspond to decreases of 4.7%, 11.9%, 9.5%, 7.8%, and 7.5%, respectively.</w:t>
      </w:r>
    </w:p>
    <w:p>
      <w:pPr>
        <w:pStyle w:val="Heading2"/>
        <w:jc w:val="left"/>
      </w:pPr>
      <w:r>
        <w:rPr>
          <w:rFonts w:ascii="Times New Roman" w:hAnsi="Times New Roman" w:eastAsia="Times New Roman"/>
          <w:sz w:val="26"/>
        </w:rPr>
        <w:t>Japanese Cohort</w:t>
      </w:r>
    </w:p>
    <w:p>
      <w:pPr>
        <w:spacing w:after="120"/>
      </w:pPr>
      <w:r>
        <w:rPr>
          <w:rFonts w:ascii="Times New Roman" w:hAnsi="Times New Roman" w:eastAsia="Times New Roman"/>
          <w:sz w:val="24"/>
        </w:rPr>
        <w:t>On the Japanese external validation cohort at 0% noise, the scorecard AUROC was 0.769. The comparator AUROC values were: Random Forest 0.762, ROMA 0.749, CatBoost 0.738, and XGBoost 0.684. Between-model hypothesis testing was not performed for this cohort because the sample contained 27 cancer cases among 177 patients, providing limited statistical power for detecting differences between models.</w:t>
      </w:r>
    </w:p>
    <w:p>
      <w:pPr>
        <w:spacing w:after="120"/>
      </w:pPr>
      <w:r>
        <w:rPr>
          <w:rFonts w:ascii="Times New Roman" w:hAnsi="Times New Roman" w:eastAsia="Times New Roman"/>
          <w:sz w:val="24"/>
        </w:rPr>
        <w:t>In this cohort, 74% of cancer patients (20 of 27) and 87% of benign patients (131 of 150) fell into the lowest quantile bins for both CA125 and HE4. Under 30% measurement noise, the scorecard AUROC was 0.752, a decrease of 0.017 from the 0%-noise baseline.</w:t>
      </w:r>
    </w:p>
    <w:p>
      <w:pPr>
        <w:pStyle w:val="Heading2"/>
        <w:jc w:val="left"/>
      </w:pPr>
      <w:r>
        <w:rPr>
          <w:rFonts w:ascii="Times New Roman" w:hAnsi="Times New Roman" w:eastAsia="Times New Roman"/>
          <w:sz w:val="26"/>
        </w:rPr>
        <w:t>Risk Stratification</w:t>
      </w:r>
    </w:p>
    <w:p>
      <w:pPr>
        <w:spacing w:after="120"/>
      </w:pPr>
      <w:r>
        <w:rPr>
          <w:rFonts w:ascii="Times New Roman" w:hAnsi="Times New Roman" w:eastAsia="Times New Roman"/>
          <w:sz w:val="24"/>
        </w:rPr>
        <w:t>The prespecified score thresholds were applied to the West China external cohort (n=380), yielding the distribution shown in Figure 6. Among patients scoring &lt;= -2 (n=157, 41.3% of the cohort), the cancer prevalence was 10.2%. Cancer prevalence increased across higher score tiers: 40.3% for scores of -1 to 0 (n=77), 93.1% for scores of 1-2 (n=58), 97.8% for scores of 3-4 (n=45), 100% for scores of 5-6 (n=6), and 100% for scores &gt;=7 (n=37). No patient with benign disease received a score of 5 or higher in this cohort.</w:t>
      </w:r>
    </w:p>
    <w:p>
      <w:pPr>
        <w:jc w:val="center"/>
      </w:pPr>
      <w:r>
        <w:drawing>
          <wp:inline xmlns:a="http://schemas.openxmlformats.org/drawingml/2006/main" xmlns:pic="http://schemas.openxmlformats.org/drawingml/2006/picture">
            <wp:extent cx="4846320" cy="1474833"/>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4846320" cy="1474833"/>
                    </a:xfrm>
                    <a:prstGeom prst="rect"/>
                  </pic:spPr>
                </pic:pic>
              </a:graphicData>
            </a:graphic>
          </wp:inline>
        </w:drawing>
      </w:r>
    </w:p>
    <w:p>
      <w:pPr>
        <w:jc w:val="center"/>
      </w:pPr>
      <w:r>
        <w:rPr>
          <w:rFonts w:ascii="Times New Roman" w:hAnsi="Times New Roman"/>
          <w:i/>
          <w:sz w:val="18"/>
        </w:rPr>
        <w:t>Figure 6. Risk stratification by integer score on the West China external validation cohort (n=380). Six prespecified score thresholds define risk tiers. Cancer prevalence (rightmost column) increases across tiers without reversal. Clinical action suggestions are based on tier-specific cancer probability. Thresholds were defined on the training data and applied without modification to the external cohort.</w:t>
      </w:r>
    </w:p>
    <w:p/>
    <w:p>
      <w:pPr>
        <w:pStyle w:val="Heading1"/>
        <w:jc w:val="left"/>
      </w:pPr>
      <w:r>
        <w:rPr>
          <w:rFonts w:ascii="Times New Roman" w:hAnsi="Times New Roman" w:eastAsia="Times New Roman"/>
          <w:sz w:val="28"/>
        </w:rPr>
        <w:t>Discussion</w:t>
      </w:r>
    </w:p>
    <w:p>
      <w:pPr>
        <w:spacing w:after="120"/>
      </w:pPr>
      <w:r>
        <w:rPr>
          <w:rFonts w:ascii="Times New Roman" w:hAnsi="Times New Roman" w:eastAsia="Times New Roman"/>
          <w:sz w:val="24"/>
        </w:rPr>
        <w:t>This study found that a 7-weight integer scorecard using four preoperative biomarkers achieved an external West China AUROC of 0.929, which was 0.054 higher than ROMA (p=0.002) and 0.023 to 0.039 higher than three tree-based machine learning models (all p&lt;=0.031) on bootstrap pairwise comparison. The external AUROC was 0.026 higher than the internal AUROC for the scorecard, whereas internal AUROC exceeded external AUROC by 0.081 to 0.095 for the tree-based models. The scorecard also showed the smallest absolute AUROC decrease under 30% measurement noise on West China (0.043 vs. 0.067 to 0.106 for the comparator models).</w:t>
      </w:r>
    </w:p>
    <w:p>
      <w:pPr>
        <w:pStyle w:val="Heading2"/>
        <w:jc w:val="left"/>
      </w:pPr>
      <w:r>
        <w:rPr>
          <w:rFonts w:ascii="Times New Roman" w:hAnsi="Times New Roman" w:eastAsia="Times New Roman"/>
          <w:sz w:val="26"/>
        </w:rPr>
        <w:t>Interpretation</w:t>
      </w:r>
    </w:p>
    <w:p>
      <w:pPr>
        <w:spacing w:after="120"/>
      </w:pPr>
      <w:r>
        <w:rPr>
          <w:rFonts w:ascii="Times New Roman" w:hAnsi="Times New Roman" w:eastAsia="Times New Roman"/>
          <w:sz w:val="24"/>
        </w:rPr>
        <w:t>The observation that tree-based ensemble methods achieved internal AUROC close to 1.0 (0.972-0.996) on 349 training samples with four features, while their external AUROC was 0.081 to 0.095 lower, is consistent with the pattern of overfitting documented in the clinical machine learning literature [27,28]. The scorecard, by design, uses 7 effective parameters rather than thousands. The observation that this lower-capacity model also achieved the highest external AUROC is consistent with the hypothesis that capacity reduction may be an effective regularization strategy when training data are modest and deployment populations are heterogeneous [29,30].</w:t>
      </w:r>
    </w:p>
    <w:p>
      <w:pPr>
        <w:spacing w:after="120"/>
      </w:pPr>
      <w:r>
        <w:rPr>
          <w:rFonts w:ascii="Times New Roman" w:hAnsi="Times New Roman" w:eastAsia="Times New Roman"/>
          <w:sz w:val="24"/>
        </w:rPr>
        <w:t>The observation that 3-bin discretization produced higher external AUROC than 5-bin discretization (which decreased West China AUROC by 0.019) is consistent with the bias-variance tradeoff in feature discretization: finer binning captures more distributional detail at the cost of increased variance in bin boundary estimation, which can reduce performance when boundaries are applied to populations with different biomarker distributions [55].</w:t>
      </w:r>
    </w:p>
    <w:p>
      <w:pPr>
        <w:pStyle w:val="Heading2"/>
        <w:jc w:val="left"/>
      </w:pPr>
      <w:r>
        <w:rPr>
          <w:rFonts w:ascii="Times New Roman" w:hAnsi="Times New Roman" w:eastAsia="Times New Roman"/>
          <w:sz w:val="26"/>
        </w:rPr>
        <w:t>Open Data and Reproducibility</w:t>
      </w:r>
    </w:p>
    <w:p>
      <w:pPr>
        <w:spacing w:after="120"/>
      </w:pPr>
      <w:r>
        <w:rPr>
          <w:rFonts w:ascii="Times New Roman" w:hAnsi="Times New Roman" w:eastAsia="Times New Roman"/>
          <w:sz w:val="24"/>
        </w:rPr>
        <w:t>All three cohorts are publicly available from the Mendeley Data, figshare, and Karger figshare repositories [dataset 1-3]. The complete analysis code, trained model weights, and benchmark results are publicly available [repository URL].</w:t>
      </w:r>
    </w:p>
    <w:p>
      <w:pPr>
        <w:pStyle w:val="Heading2"/>
        <w:jc w:val="left"/>
      </w:pPr>
      <w:r>
        <w:rPr>
          <w:rFonts w:ascii="Times New Roman" w:hAnsi="Times New Roman" w:eastAsia="Times New Roman"/>
          <w:sz w:val="26"/>
        </w:rPr>
        <w:t>Future Directions</w:t>
      </w:r>
    </w:p>
    <w:p>
      <w:pPr>
        <w:spacing w:after="120"/>
      </w:pPr>
      <w:r>
        <w:rPr>
          <w:rFonts w:ascii="Times New Roman" w:hAnsi="Times New Roman" w:eastAsia="Times New Roman"/>
          <w:sz w:val="24"/>
        </w:rPr>
        <w:t>Five directions for further work are: (1) prospective multicenter validation with decision curve analysis to quantify net clinical benefit; (2) systematic evaluation of quantile-based binning stability across different CA125 and HE4 assay platforms and calibration conditions [17]; (3) development of sparse multi-biomarker scorecards integrating the 47 clinical variables available in the training data, which achieved cross-validation AUROC of 0.925 in internal exploratory analysis; (4) histology-specific models addressing the biological heterogeneity of ovarian cancer subtypes [10,11]; and (5) external validation in non-Asian populations with different biomarker distributions, menopause demographics, and cancer prevalence.</w:t>
      </w:r>
    </w:p>
    <w:p>
      <w:pPr>
        <w:pStyle w:val="Heading2"/>
        <w:jc w:val="left"/>
      </w:pPr>
      <w:r>
        <w:rPr>
          <w:rFonts w:ascii="Times New Roman" w:hAnsi="Times New Roman" w:eastAsia="Times New Roman"/>
          <w:sz w:val="26"/>
        </w:rPr>
        <w:t>Limitations</w:t>
      </w:r>
    </w:p>
    <w:p>
      <w:pPr>
        <w:spacing w:after="120"/>
      </w:pPr>
      <w:r>
        <w:rPr>
          <w:rFonts w:ascii="Times New Roman" w:hAnsi="Times New Roman" w:eastAsia="Times New Roman"/>
          <w:sz w:val="24"/>
        </w:rPr>
        <w:t>(1) The Japanese cohort contained 27 cancer cases; between-model hypothesis testing was not performed on this cohort, and the small AUROC decrease under noise (0.017) is attributable to the concentration of most patients in the lowest quantile bins at baseline. (2) The training cohort (n=349) provides approximately 50 events per scorecard parameter. (3) External validation cohorts did not contain the hematological and biochemical panels available in the training data. (4) The study is retrospective; risk tier thresholds have not been prospectively validated; decision curve analysis was not performed. (5) Assay calibration differences across the three institutions were not directly measured or controlled. (6) The scorecard was trained without menopause stratification; the finding that menopause received zero weight is reported as an observation. (7) All three cohorts are Asian; performance in non-Asian populations has not been evaluated.</w:t>
      </w:r>
    </w:p>
    <w:p>
      <w:pPr>
        <w:pStyle w:val="Heading2"/>
        <w:jc w:val="left"/>
      </w:pPr>
      <w:r>
        <w:rPr>
          <w:rFonts w:ascii="Times New Roman" w:hAnsi="Times New Roman" w:eastAsia="Times New Roman"/>
          <w:sz w:val="26"/>
        </w:rPr>
        <w:t>Conclusions</w:t>
      </w:r>
    </w:p>
    <w:p>
      <w:pPr>
        <w:spacing w:after="120"/>
      </w:pPr>
      <w:r>
        <w:rPr>
          <w:rFonts w:ascii="Times New Roman" w:hAnsi="Times New Roman" w:eastAsia="Times New Roman"/>
          <w:sz w:val="24"/>
        </w:rPr>
        <w:t>An integer scorecard using CA125, HE4, Age, and Menopausal status with quantile-based binning achieved external West China AUROC 0.929 (95% CI: 0.902-0.955). On bootstrap pairwise comparison, the scorecard AUROC was 0.054 higher than ROMA (p=0.002) and 0.023 to 0.039 higher than three tree-based models (all p&lt;=0.031). Under 30% measurement noise, the scorecard AUROC decreased by 0.043 (4.7%) compared with decreases of 0.067 to 0.106 (7.5-11.9%) for the comparator models. Prospective validation with decision curve analysis is the next step toward evaluating clinical utility.</w:t>
      </w:r>
    </w:p>
    <w:p>
      <w:pPr>
        <w:pStyle w:val="Heading1"/>
        <w:jc w:val="left"/>
      </w:pPr>
      <w:r>
        <w:rPr>
          <w:rFonts w:ascii="Times New Roman" w:hAnsi="Times New Roman" w:eastAsia="Times New Roman"/>
          <w:sz w:val="28"/>
        </w:rPr>
        <w:t>References</w:t>
      </w:r>
    </w:p>
    <w:p>
      <w:pPr>
        <w:spacing w:after="40"/>
      </w:pPr>
      <w:r>
        <w:rPr>
          <w:rFonts w:ascii="Times New Roman" w:hAnsi="Times New Roman"/>
          <w:sz w:val="20"/>
        </w:rPr>
        <w:t>1. Sung H et al. Global Cancer Statistics 2020. CA Cancer J Clin. 2021;71(3):209-249.</w:t>
      </w:r>
    </w:p>
    <w:p>
      <w:pPr>
        <w:spacing w:after="40"/>
      </w:pPr>
      <w:r>
        <w:rPr>
          <w:rFonts w:ascii="Times New Roman" w:hAnsi="Times New Roman"/>
          <w:sz w:val="20"/>
        </w:rPr>
        <w:t>2. Torre LA et al. Ovarian cancer statistics, 2018. CA Cancer J Clin. 2018;68(4):284-296.</w:t>
      </w:r>
    </w:p>
    <w:p>
      <w:pPr>
        <w:spacing w:after="40"/>
      </w:pPr>
      <w:r>
        <w:rPr>
          <w:rFonts w:ascii="Times New Roman" w:hAnsi="Times New Roman"/>
          <w:sz w:val="20"/>
        </w:rPr>
        <w:t>3. Lheureux S et al. Epithelial ovarian cancer. Lancet. 2019;393:1240-1253.</w:t>
      </w:r>
    </w:p>
    <w:p>
      <w:pPr>
        <w:spacing w:after="40"/>
      </w:pPr>
      <w:r>
        <w:rPr>
          <w:rFonts w:ascii="Times New Roman" w:hAnsi="Times New Roman"/>
          <w:sz w:val="20"/>
        </w:rPr>
        <w:t>4. Menon U et al. UKCTOCS long-term follow-up. Lancet. 2021;397:2182-2193.</w:t>
      </w:r>
    </w:p>
    <w:p>
      <w:pPr>
        <w:spacing w:after="40"/>
      </w:pPr>
      <w:r>
        <w:rPr>
          <w:rFonts w:ascii="Times New Roman" w:hAnsi="Times New Roman"/>
          <w:sz w:val="20"/>
        </w:rPr>
        <w:t>5. Jacobs IJ et al. UKCTOCS primary results. Lancet. 2016;387:945-956.</w:t>
      </w:r>
    </w:p>
    <w:p>
      <w:pPr>
        <w:spacing w:after="40"/>
      </w:pPr>
      <w:r>
        <w:rPr>
          <w:rFonts w:ascii="Times New Roman" w:hAnsi="Times New Roman"/>
          <w:sz w:val="20"/>
        </w:rPr>
        <w:t>6. Kaijser J et al. IOTA studies summary. Ultrasound Obstet Gynecol. 2013;41:9-20.</w:t>
      </w:r>
    </w:p>
    <w:p>
      <w:pPr>
        <w:spacing w:after="40"/>
      </w:pPr>
      <w:r>
        <w:rPr>
          <w:rFonts w:ascii="Times New Roman" w:hAnsi="Times New Roman"/>
          <w:sz w:val="20"/>
        </w:rPr>
        <w:t>7. Timmerman D et al. ESGO/ISUOG/IOTA consensus. Int J Gynecol Cancer. 2021;31:961-982.</w:t>
      </w:r>
    </w:p>
    <w:p>
      <w:pPr>
        <w:spacing w:after="40"/>
      </w:pPr>
      <w:r>
        <w:rPr>
          <w:rFonts w:ascii="Times New Roman" w:hAnsi="Times New Roman"/>
          <w:sz w:val="20"/>
        </w:rPr>
        <w:t>8. Bast RC et al. CA125 radioimmunoassay. N Engl J Med. 1983;309:883-887.</w:t>
      </w:r>
    </w:p>
    <w:p>
      <w:pPr>
        <w:spacing w:after="40"/>
      </w:pPr>
      <w:r>
        <w:rPr>
          <w:rFonts w:ascii="Times New Roman" w:hAnsi="Times New Roman"/>
          <w:sz w:val="20"/>
        </w:rPr>
        <w:t>9. Jacobs I, Bast RC. CA125 review. Hum Reprod. 1989;4:1-12.</w:t>
      </w:r>
    </w:p>
    <w:p>
      <w:pPr>
        <w:spacing w:after="40"/>
      </w:pPr>
      <w:r>
        <w:rPr>
          <w:rFonts w:ascii="Times New Roman" w:hAnsi="Times New Roman"/>
          <w:sz w:val="20"/>
        </w:rPr>
        <w:t>10. Hellstrom I et al. HE4 biomarker. Cancer Res. 2003;63:3695-3700.</w:t>
      </w:r>
    </w:p>
    <w:p>
      <w:pPr>
        <w:spacing w:after="40"/>
      </w:pPr>
      <w:r>
        <w:rPr>
          <w:rFonts w:ascii="Times New Roman" w:hAnsi="Times New Roman"/>
          <w:sz w:val="20"/>
        </w:rPr>
        <w:t>11. Drapkin R et al. HE4 characterization. Cancer Res. 2005;65:2162-2169.</w:t>
      </w:r>
    </w:p>
    <w:p>
      <w:pPr>
        <w:spacing w:after="40"/>
      </w:pPr>
      <w:r>
        <w:rPr>
          <w:rFonts w:ascii="Times New Roman" w:hAnsi="Times New Roman"/>
          <w:sz w:val="20"/>
        </w:rPr>
        <w:t>12. Moore RG et al. ROMA algorithm. Gynecol Oncol. 2009;112:40-46.</w:t>
      </w:r>
    </w:p>
    <w:p>
      <w:pPr>
        <w:spacing w:after="40"/>
      </w:pPr>
      <w:r>
        <w:rPr>
          <w:rFonts w:ascii="Times New Roman" w:hAnsi="Times New Roman"/>
          <w:sz w:val="20"/>
        </w:rPr>
        <w:t>13. Moore RG et al. ROMA validation. Obstet Gynecol. 2011;118:280-288.</w:t>
      </w:r>
    </w:p>
    <w:p>
      <w:pPr>
        <w:spacing w:after="40"/>
      </w:pPr>
      <w:r>
        <w:rPr>
          <w:rFonts w:ascii="Times New Roman" w:hAnsi="Times New Roman"/>
          <w:sz w:val="20"/>
        </w:rPr>
        <w:t>14. Van Gorp T et al. HE4 and CA125 prospective validation. Br J Cancer. 2011;104:863-870.</w:t>
      </w:r>
    </w:p>
    <w:p>
      <w:pPr>
        <w:spacing w:after="40"/>
      </w:pPr>
      <w:r>
        <w:rPr>
          <w:rFonts w:ascii="Times New Roman" w:hAnsi="Times New Roman"/>
          <w:sz w:val="20"/>
        </w:rPr>
        <w:t>15. Li F et al. ROMA meta-analysis. BMC Cancer. 2012;12:258.</w:t>
      </w:r>
    </w:p>
    <w:p>
      <w:pPr>
        <w:spacing w:after="40"/>
      </w:pPr>
      <w:r>
        <w:rPr>
          <w:rFonts w:ascii="Times New Roman" w:hAnsi="Times New Roman"/>
          <w:sz w:val="20"/>
        </w:rPr>
        <w:t>16. Dayyani F et al. ROMA meta-analysis. Int J Gynecol Cancer. 2016;26:1586-1593.</w:t>
      </w:r>
    </w:p>
    <w:p>
      <w:pPr>
        <w:spacing w:after="40"/>
      </w:pPr>
      <w:r>
        <w:rPr>
          <w:rFonts w:ascii="Times New Roman" w:hAnsi="Times New Roman"/>
          <w:sz w:val="20"/>
        </w:rPr>
        <w:t>17. Blythe LA, Trivers KF. Inter-platform CA125/HE4 variation. Clin Chem Lab Med. 2010;48:1100-1108.</w:t>
      </w:r>
    </w:p>
    <w:p>
      <w:pPr>
        <w:spacing w:after="40"/>
      </w:pPr>
      <w:r>
        <w:rPr>
          <w:rFonts w:ascii="Times New Roman" w:hAnsi="Times New Roman"/>
          <w:sz w:val="20"/>
        </w:rPr>
        <w:t>18. Molina R et al. HE4 comparison with CA125. Tumour Biol. 2011;32:1087-1095.</w:t>
      </w:r>
    </w:p>
    <w:p>
      <w:pPr>
        <w:spacing w:after="40"/>
      </w:pPr>
      <w:r>
        <w:rPr>
          <w:rFonts w:ascii="Times New Roman" w:hAnsi="Times New Roman"/>
          <w:sz w:val="20"/>
        </w:rPr>
        <w:t>19. Testa A et al. Ovarian cancer diagnostic strategies. Br J Cancer. 2014;111:680-688.</w:t>
      </w:r>
    </w:p>
    <w:p>
      <w:pPr>
        <w:spacing w:after="40"/>
      </w:pPr>
      <w:r>
        <w:rPr>
          <w:rFonts w:ascii="Times New Roman" w:hAnsi="Times New Roman"/>
          <w:sz w:val="20"/>
        </w:rPr>
        <w:t>20. Kawakami E et al. AI for ovarian cancer prediction. Clin Cancer Res. 2019;25:3006-3015.</w:t>
      </w:r>
    </w:p>
    <w:p>
      <w:pPr>
        <w:spacing w:after="40"/>
      </w:pPr>
      <w:r>
        <w:rPr>
          <w:rFonts w:ascii="Times New Roman" w:hAnsi="Times New Roman"/>
          <w:sz w:val="20"/>
        </w:rPr>
        <w:t>21. Lu M et al. ML for ovarian cancer prediction. Int J Med Inform. 2020;141:104195.</w:t>
      </w:r>
    </w:p>
    <w:p>
      <w:pPr>
        <w:spacing w:after="40"/>
      </w:pPr>
      <w:r>
        <w:rPr>
          <w:rFonts w:ascii="Times New Roman" w:hAnsi="Times New Roman"/>
          <w:sz w:val="20"/>
        </w:rPr>
        <w:t>22. Arezzo F et al. ML on gynecological ultrasound. Arch Gynecol Obstet. 2022;306:2143-2150.</w:t>
      </w:r>
    </w:p>
    <w:p>
      <w:pPr>
        <w:spacing w:after="40"/>
      </w:pPr>
      <w:r>
        <w:rPr>
          <w:rFonts w:ascii="Times New Roman" w:hAnsi="Times New Roman"/>
          <w:sz w:val="20"/>
        </w:rPr>
        <w:t>23. Akazawa M, Hashimoto K. AI in ovarian cancer. Anticancer Res. 2021;41:3765-3772.</w:t>
      </w:r>
    </w:p>
    <w:p>
      <w:pPr>
        <w:spacing w:after="40"/>
      </w:pPr>
      <w:r>
        <w:rPr>
          <w:rFonts w:ascii="Times New Roman" w:hAnsi="Times New Roman"/>
          <w:sz w:val="20"/>
        </w:rPr>
        <w:t>24. Topol EJ. High-performance medicine. Nat Med. 2019;25:44-56.</w:t>
      </w:r>
    </w:p>
    <w:p>
      <w:pPr>
        <w:spacing w:after="40"/>
      </w:pPr>
      <w:r>
        <w:rPr>
          <w:rFonts w:ascii="Times New Roman" w:hAnsi="Times New Roman"/>
          <w:sz w:val="20"/>
        </w:rPr>
        <w:t>25. Beam AL, Kohane IS. Big data and ML in healthcare. JAMA. 2018;319:1317-1318.</w:t>
      </w:r>
    </w:p>
    <w:p>
      <w:pPr>
        <w:spacing w:after="40"/>
      </w:pPr>
      <w:r>
        <w:rPr>
          <w:rFonts w:ascii="Times New Roman" w:hAnsi="Times New Roman"/>
          <w:sz w:val="20"/>
        </w:rPr>
        <w:t>26. Kelly CJ et al. Clinical impact challenges with AI. BMC Med. 2019;17:195.</w:t>
      </w:r>
    </w:p>
    <w:p>
      <w:pPr>
        <w:spacing w:after="40"/>
      </w:pPr>
      <w:r>
        <w:rPr>
          <w:rFonts w:ascii="Times New Roman" w:hAnsi="Times New Roman"/>
          <w:sz w:val="20"/>
        </w:rPr>
        <w:t>27. Roberts M et al. ML pitfalls for COVID-19 imaging. Nat Mach Intell. 2021;3:199-217.</w:t>
      </w:r>
    </w:p>
    <w:p>
      <w:pPr>
        <w:spacing w:after="40"/>
      </w:pPr>
      <w:r>
        <w:rPr>
          <w:rFonts w:ascii="Times New Roman" w:hAnsi="Times New Roman"/>
          <w:sz w:val="20"/>
        </w:rPr>
        <w:t>28. Wynants L et al. COVID-19 prediction models review. BMJ. 2020;369:m1328.</w:t>
      </w:r>
    </w:p>
    <w:p>
      <w:pPr>
        <w:spacing w:after="40"/>
      </w:pPr>
      <w:r>
        <w:rPr>
          <w:rFonts w:ascii="Times New Roman" w:hAnsi="Times New Roman"/>
          <w:sz w:val="20"/>
        </w:rPr>
        <w:t>29. Collins GS et al. TRIPOD statement. BMJ. 2015;350:g7594.</w:t>
      </w:r>
    </w:p>
    <w:p>
      <w:pPr>
        <w:spacing w:after="40"/>
      </w:pPr>
      <w:r>
        <w:rPr>
          <w:rFonts w:ascii="Times New Roman" w:hAnsi="Times New Roman"/>
          <w:sz w:val="20"/>
        </w:rPr>
        <w:t>30. Steyerberg EW et al. Prediction model assessment. Epidemiology. 2010;21:128-138.</w:t>
      </w:r>
    </w:p>
    <w:p>
      <w:pPr>
        <w:spacing w:after="40"/>
      </w:pPr>
      <w:r>
        <w:rPr>
          <w:rFonts w:ascii="Times New Roman" w:hAnsi="Times New Roman"/>
          <w:sz w:val="20"/>
        </w:rPr>
        <w:t>31. Ustun B, Rudin C. RiskSLIM scorecards. Mach Learn. 2016;102:349-391.</w:t>
      </w:r>
    </w:p>
    <w:p>
      <w:pPr>
        <w:spacing w:after="40"/>
      </w:pPr>
      <w:r>
        <w:rPr>
          <w:rFonts w:ascii="Times New Roman" w:hAnsi="Times New Roman"/>
          <w:sz w:val="20"/>
        </w:rPr>
        <w:t>32. Ustun B, Rudin C. Optimized risk scores. JMLR. 2019;20(150):1-75.</w:t>
      </w:r>
    </w:p>
    <w:p>
      <w:pPr>
        <w:spacing w:after="40"/>
      </w:pPr>
      <w:r>
        <w:rPr>
          <w:rFonts w:ascii="Times New Roman" w:hAnsi="Times New Roman"/>
          <w:sz w:val="20"/>
        </w:rPr>
        <w:t>33. Rudin C. Stop explaining black boxes. Nat Mach Intell. 2019;1:206-215.</w:t>
      </w:r>
    </w:p>
    <w:p>
      <w:pPr>
        <w:spacing w:after="40"/>
      </w:pPr>
      <w:r>
        <w:rPr>
          <w:rFonts w:ascii="Times New Roman" w:hAnsi="Times New Roman"/>
          <w:sz w:val="20"/>
        </w:rPr>
        <w:t>34. Caruana R et al. Intelligible models for healthcare. KDD. 2015:1721-1730.</w:t>
      </w:r>
    </w:p>
    <w:p>
      <w:pPr>
        <w:spacing w:after="40"/>
      </w:pPr>
      <w:r>
        <w:rPr>
          <w:rFonts w:ascii="Times New Roman" w:hAnsi="Times New Roman"/>
          <w:sz w:val="20"/>
        </w:rPr>
        <w:t>35. Zeng J et al. Simple models vs deep learning. JCO CCI. 2022;6:e2100120.</w:t>
      </w:r>
    </w:p>
    <w:p>
      <w:pPr>
        <w:spacing w:after="40"/>
      </w:pPr>
      <w:r>
        <w:rPr>
          <w:rFonts w:ascii="Times New Roman" w:hAnsi="Times New Roman"/>
          <w:sz w:val="20"/>
        </w:rPr>
        <w:t>36. Knaus WA et al. APACHE II. Crit Care Med. 1985;13:818-829.</w:t>
      </w:r>
    </w:p>
    <w:p>
      <w:pPr>
        <w:spacing w:after="40"/>
      </w:pPr>
      <w:r>
        <w:rPr>
          <w:rFonts w:ascii="Times New Roman" w:hAnsi="Times New Roman"/>
          <w:sz w:val="20"/>
        </w:rPr>
        <w:t>37. Wells PS et al. Wells criteria for PE. Thromb Haemost. 2000;83:416-420.</w:t>
      </w:r>
    </w:p>
    <w:p>
      <w:pPr>
        <w:spacing w:after="40"/>
      </w:pPr>
      <w:r>
        <w:rPr>
          <w:rFonts w:ascii="Times New Roman" w:hAnsi="Times New Roman"/>
          <w:sz w:val="20"/>
        </w:rPr>
        <w:t>38. Lip GY et al. CHA2DS2-VASc. Chest. 2010;137:263-272.</w:t>
      </w:r>
    </w:p>
    <w:p>
      <w:pPr>
        <w:spacing w:after="40"/>
      </w:pPr>
      <w:r>
        <w:rPr>
          <w:rFonts w:ascii="Times New Roman" w:hAnsi="Times New Roman"/>
          <w:sz w:val="20"/>
        </w:rPr>
        <w:t>39. Troyanskaya O et al. KNN imputation. Bioinformatics. 2001;17:520-525.</w:t>
      </w:r>
    </w:p>
    <w:p>
      <w:pPr>
        <w:spacing w:after="40"/>
      </w:pPr>
      <w:r>
        <w:rPr>
          <w:rFonts w:ascii="Times New Roman" w:hAnsi="Times New Roman"/>
          <w:sz w:val="20"/>
        </w:rPr>
        <w:t>40. Bolstad BM et al. Quantile normalization. Bioinformatics. 2003;19:185-193.</w:t>
      </w:r>
    </w:p>
    <w:p>
      <w:pPr>
        <w:spacing w:after="40"/>
      </w:pPr>
      <w:r>
        <w:rPr>
          <w:rFonts w:ascii="Times New Roman" w:hAnsi="Times New Roman"/>
          <w:sz w:val="20"/>
        </w:rPr>
        <w:t>41. Hoerl AE, Kennard RW. Ridge regression. Technometrics. 1970;12:55-67.</w:t>
      </w:r>
    </w:p>
    <w:p>
      <w:pPr>
        <w:spacing w:after="40"/>
      </w:pPr>
      <w:r>
        <w:rPr>
          <w:rFonts w:ascii="Times New Roman" w:hAnsi="Times New Roman"/>
          <w:sz w:val="20"/>
        </w:rPr>
        <w:t>42. Chen T, Guestrin C. XGBoost. KDD. 2016:785-794.</w:t>
      </w:r>
    </w:p>
    <w:p>
      <w:pPr>
        <w:spacing w:after="40"/>
      </w:pPr>
      <w:r>
        <w:rPr>
          <w:rFonts w:ascii="Times New Roman" w:hAnsi="Times New Roman"/>
          <w:sz w:val="20"/>
        </w:rPr>
        <w:t>43. Prokhorenkova L et al. CatBoost. NeurIPS. 2018;31.</w:t>
      </w:r>
    </w:p>
    <w:p>
      <w:pPr>
        <w:spacing w:after="40"/>
      </w:pPr>
      <w:r>
        <w:rPr>
          <w:rFonts w:ascii="Times New Roman" w:hAnsi="Times New Roman"/>
          <w:sz w:val="20"/>
        </w:rPr>
        <w:t>44. Breiman L. Random forests. Mach Learn. 2001;45:5-32.</w:t>
      </w:r>
    </w:p>
    <w:p>
      <w:pPr>
        <w:spacing w:after="40"/>
      </w:pPr>
      <w:r>
        <w:rPr>
          <w:rFonts w:ascii="Times New Roman" w:hAnsi="Times New Roman"/>
          <w:sz w:val="20"/>
        </w:rPr>
        <w:t>45. Fraser CG, Harris EK. Biological variation. Crit Rev Clin Lab Sci. 1989;27:409-437.</w:t>
      </w:r>
    </w:p>
    <w:p>
      <w:pPr>
        <w:spacing w:after="40"/>
      </w:pPr>
      <w:r>
        <w:rPr>
          <w:rFonts w:ascii="Times New Roman" w:hAnsi="Times New Roman"/>
          <w:sz w:val="20"/>
        </w:rPr>
        <w:t>46. Ricos C et al. Biological variation databases. Scand J Clin Lab Invest. 1999;59:491-500.</w:t>
      </w:r>
    </w:p>
    <w:p>
      <w:pPr>
        <w:spacing w:after="40"/>
      </w:pPr>
      <w:r>
        <w:rPr>
          <w:rFonts w:ascii="Times New Roman" w:hAnsi="Times New Roman"/>
          <w:sz w:val="20"/>
        </w:rPr>
        <w:t>47. Efron B, Tibshirani RJ. An Introduction to the Bootstrap. CRC; 1994.</w:t>
      </w:r>
    </w:p>
    <w:p>
      <w:pPr>
        <w:spacing w:after="40"/>
      </w:pPr>
      <w:r>
        <w:rPr>
          <w:rFonts w:ascii="Times New Roman" w:hAnsi="Times New Roman"/>
          <w:sz w:val="20"/>
        </w:rPr>
        <w:t>48. World Medical Association. Declaration of Helsinki. JAMA. 2013;310:2191-2194.</w:t>
      </w:r>
    </w:p>
    <w:p>
      <w:pPr>
        <w:spacing w:after="40"/>
      </w:pPr>
      <w:r>
        <w:rPr>
          <w:rFonts w:ascii="Times New Roman" w:hAnsi="Times New Roman"/>
          <w:sz w:val="20"/>
        </w:rPr>
        <w:t>49. Kurman RJ et al. WHO Classification of Female Reproductive Tumours. IARC; 2014.</w:t>
      </w:r>
    </w:p>
    <w:p>
      <w:pPr>
        <w:spacing w:after="40"/>
      </w:pPr>
      <w:r>
        <w:rPr>
          <w:rFonts w:ascii="Times New Roman" w:hAnsi="Times New Roman"/>
          <w:sz w:val="20"/>
        </w:rPr>
        <w:t>50. Sterne JA et al. Multiple imputation. BMJ. 2009;338:b2393.</w:t>
      </w:r>
    </w:p>
    <w:p>
      <w:pPr>
        <w:spacing w:after="40"/>
      </w:pPr>
      <w:r>
        <w:rPr>
          <w:rFonts w:ascii="Times New Roman" w:hAnsi="Times New Roman"/>
          <w:sz w:val="20"/>
        </w:rPr>
        <w:t>51. Beretta L, Santaniello A. KNN imputation evaluation. BMC Med Inform Decis Mak. 2016;16(S3):74.</w:t>
      </w:r>
    </w:p>
    <w:p>
      <w:pPr>
        <w:spacing w:after="40"/>
      </w:pPr>
      <w:r>
        <w:rPr>
          <w:rFonts w:ascii="Times New Roman" w:hAnsi="Times New Roman"/>
          <w:sz w:val="20"/>
        </w:rPr>
        <w:t>52. Moons KG et al. TRIPOD explanation. Ann Intern Med. 2015;162:W1-73.</w:t>
      </w:r>
    </w:p>
    <w:p>
      <w:pPr>
        <w:spacing w:after="40"/>
      </w:pPr>
      <w:r>
        <w:rPr>
          <w:rFonts w:ascii="Times New Roman" w:hAnsi="Times New Roman"/>
          <w:sz w:val="20"/>
        </w:rPr>
        <w:t>53. Rubin DB. Multiple Imputation for Nonresponse. Wiley; 2004.</w:t>
      </w:r>
    </w:p>
    <w:p>
      <w:pPr>
        <w:spacing w:after="40"/>
      </w:pPr>
      <w:r>
        <w:rPr>
          <w:rFonts w:ascii="Times New Roman" w:hAnsi="Times New Roman"/>
          <w:sz w:val="20"/>
        </w:rPr>
        <w:t>54. Henderson KD et al. Menopause timing predictors. Am J Epidemiol. 2008;167:1287-1294.</w:t>
      </w:r>
    </w:p>
    <w:p>
      <w:pPr>
        <w:spacing w:after="40"/>
      </w:pPr>
      <w:r>
        <w:rPr>
          <w:rFonts w:ascii="Times New Roman" w:hAnsi="Times New Roman"/>
          <w:sz w:val="20"/>
        </w:rPr>
        <w:t>55. Cawley GC, Talbot NLC. Over-fitting in model selection. JMLR. 2010;11:2079-2107.</w:t>
      </w:r>
    </w:p>
    <w:p>
      <w:pPr>
        <w:spacing w:after="40"/>
      </w:pPr>
      <w:r>
        <w:rPr>
          <w:rFonts w:ascii="Times New Roman" w:hAnsi="Times New Roman"/>
          <w:sz w:val="20"/>
        </w:rPr>
        <w:t>56. Tibshirani R. Lasso regression. JRSSB. 1996;58:267-288.</w:t>
      </w:r>
    </w:p>
    <w:p>
      <w:pPr>
        <w:spacing w:after="40"/>
      </w:pPr>
      <w:r>
        <w:rPr>
          <w:rFonts w:ascii="Times New Roman" w:hAnsi="Times New Roman"/>
          <w:sz w:val="20"/>
        </w:rPr>
        <w:t>57. Moons KG et al. Risk prediction external validation. Heart. 2012;98:691-698.</w:t>
      </w:r>
    </w:p>
    <w:p>
      <w:pPr>
        <w:spacing w:after="40"/>
      </w:pPr>
      <w:r>
        <w:rPr>
          <w:rFonts w:ascii="Times New Roman" w:hAnsi="Times New Roman"/>
          <w:sz w:val="20"/>
        </w:rPr>
        <w:t>58. Pedregosa F et al. Scikit-learn. JMLR. 2011;12:2825-2830.</w:t>
      </w:r>
    </w:p>
    <w:p>
      <w:pPr>
        <w:spacing w:after="40"/>
      </w:pPr>
      <w:r>
        <w:rPr>
          <w:rFonts w:ascii="Times New Roman" w:hAnsi="Times New Roman"/>
          <w:sz w:val="20"/>
        </w:rPr>
        <w:t>59. Sturgeon CM et al. NACB tumor marker guidelines. Clin Chem. 2008;54:e11-79.</w:t>
      </w:r>
    </w:p>
    <w:p>
      <w:pPr>
        <w:spacing w:after="40"/>
      </w:pPr>
      <w:r>
        <w:rPr>
          <w:rFonts w:ascii="Times New Roman" w:hAnsi="Times New Roman"/>
          <w:sz w:val="20"/>
        </w:rPr>
        <w:t>60. Sendak MP et al. ML translation into healthcare. EMJ Innov. 2020;10:19-00172.</w:t>
      </w:r>
    </w:p>
    <w:p>
      <w:pPr>
        <w:spacing w:after="40"/>
      </w:pPr>
      <w:r>
        <w:rPr>
          <w:rFonts w:ascii="Times New Roman" w:hAnsi="Times New Roman"/>
          <w:sz w:val="20"/>
        </w:rPr>
        <w:t>61. Wiens J et al. Responsible ML for health care. Nat Med. 2019;25:1337-1340.</w:t>
      </w:r>
    </w:p>
    <w:p>
      <w:pPr>
        <w:spacing w:after="40"/>
      </w:pPr>
      <w:r>
        <w:rPr>
          <w:rFonts w:ascii="Times New Roman" w:hAnsi="Times New Roman"/>
          <w:sz w:val="20"/>
        </w:rPr>
        <w:t>62. Engelen MJ et al. Surgery by gynecologic oncologists improves survival. Cancer. 2006;106:589-598.</w:t>
      </w:r>
    </w:p>
    <w:p>
      <w:pPr>
        <w:spacing w:after="40"/>
      </w:pPr>
      <w:r>
        <w:rPr>
          <w:rFonts w:ascii="Times New Roman" w:hAnsi="Times New Roman"/>
          <w:sz w:val="20"/>
        </w:rPr>
        <w:t>63. Peduzzi P et al. Events per variable in logistic regression. J Clin Epidemiol. 1996;49:1373-1379.</w:t>
      </w:r>
    </w:p>
    <w:p>
      <w:pPr>
        <w:spacing w:after="40"/>
      </w:pPr>
      <w:r>
        <w:rPr>
          <w:rFonts w:ascii="Times New Roman" w:hAnsi="Times New Roman"/>
          <w:sz w:val="20"/>
        </w:rPr>
        <w:t>64. [Dataset 1] Chinese Ovarian Cancer Dataset. Mendeley Data. DOI: 10.17632/th7fztbrv9.11.</w:t>
      </w:r>
    </w:p>
    <w:p>
      <w:pPr>
        <w:spacing w:after="40"/>
      </w:pPr>
      <w:r>
        <w:rPr>
          <w:rFonts w:ascii="Times New Roman" w:hAnsi="Times New Roman"/>
          <w:sz w:val="20"/>
        </w:rPr>
        <w:t>65. [Dataset 2] Ovarian cancer vs. ovarian cyst patients. figshare. DOI: 10.6084/m9.figshare.28831256.</w:t>
      </w:r>
    </w:p>
    <w:p>
      <w:pPr>
        <w:spacing w:after="40"/>
      </w:pPr>
      <w:r>
        <w:rPr>
          <w:rFonts w:ascii="Times New Roman" w:hAnsi="Times New Roman"/>
          <w:sz w:val="20"/>
        </w:rPr>
        <w:t>66. [Dataset 3] Revised HE4 Cut-Off Value — Supplementary Material. Karger figshare. DOI: 10.6084/m9.figshare.24235450.</w:t>
      </w:r>
    </w:p>
    <w:p>
      <w:pPr>
        <w:pStyle w:val="Heading1"/>
        <w:jc w:val="left"/>
      </w:pPr>
      <w:r>
        <w:rPr>
          <w:rFonts w:ascii="Times New Roman" w:hAnsi="Times New Roman" w:eastAsia="Times New Roman"/>
          <w:sz w:val="28"/>
        </w:rPr>
        <w:t>Declarations</w:t>
      </w:r>
    </w:p>
    <w:p>
      <w:pPr>
        <w:pStyle w:val="Heading2"/>
        <w:jc w:val="left"/>
      </w:pPr>
      <w:r>
        <w:rPr>
          <w:rFonts w:ascii="Times New Roman" w:hAnsi="Times New Roman" w:eastAsia="Times New Roman"/>
          <w:sz w:val="26"/>
        </w:rPr>
        <w:t>Ethics approval</w:t>
      </w:r>
    </w:p>
    <w:p>
      <w:pPr>
        <w:spacing w:after="120"/>
      </w:pPr>
      <w:r>
        <w:rPr>
          <w:rFonts w:ascii="Times New Roman" w:hAnsi="Times New Roman" w:eastAsia="Times New Roman"/>
          <w:sz w:val="24"/>
        </w:rPr>
        <w:t>Secondary analysis of publicly available de-identified datasets. Exempt from additional IRB review.</w:t>
      </w:r>
    </w:p>
    <w:p>
      <w:pPr>
        <w:pStyle w:val="Heading2"/>
        <w:jc w:val="left"/>
      </w:pPr>
      <w:r>
        <w:rPr>
          <w:rFonts w:ascii="Times New Roman" w:hAnsi="Times New Roman" w:eastAsia="Times New Roman"/>
          <w:sz w:val="26"/>
        </w:rPr>
        <w:t>Data availability</w:t>
      </w:r>
    </w:p>
    <w:p>
      <w:pPr>
        <w:spacing w:after="120"/>
      </w:pPr>
      <w:r>
        <w:rPr>
          <w:rFonts w:ascii="Times New Roman" w:hAnsi="Times New Roman" w:eastAsia="Times New Roman"/>
          <w:sz w:val="24"/>
        </w:rPr>
        <w:t>All datasets publicly available at listed DOIs. Code: https://github.com/angelayaoo/Ovarian-Cancer-RiskSLIM.</w:t>
      </w:r>
    </w:p>
    <w:p>
      <w:pPr>
        <w:pStyle w:val="Heading2"/>
        <w:jc w:val="left"/>
      </w:pPr>
      <w:r>
        <w:rPr>
          <w:rFonts w:ascii="Times New Roman" w:hAnsi="Times New Roman" w:eastAsia="Times New Roman"/>
          <w:sz w:val="26"/>
        </w:rPr>
        <w:t>Competing interests</w:t>
      </w:r>
    </w:p>
    <w:p>
      <w:pPr>
        <w:spacing w:after="120"/>
      </w:pPr>
      <w:r>
        <w:rPr>
          <w:rFonts w:ascii="Times New Roman" w:hAnsi="Times New Roman" w:eastAsia="Times New Roman"/>
          <w:sz w:val="24"/>
        </w:rPr>
        <w:t>None declared.</w:t>
      </w:r>
    </w:p>
    <w:p>
      <w:pPr>
        <w:pStyle w:val="Heading2"/>
        <w:jc w:val="left"/>
      </w:pPr>
      <w:r>
        <w:rPr>
          <w:rFonts w:ascii="Times New Roman" w:hAnsi="Times New Roman" w:eastAsia="Times New Roman"/>
          <w:sz w:val="26"/>
        </w:rPr>
        <w:t>Funding</w:t>
      </w:r>
    </w:p>
    <w:p>
      <w:pPr>
        <w:spacing w:after="120"/>
      </w:pPr>
      <w:r>
        <w:rPr>
          <w:rFonts w:ascii="Times New Roman" w:hAnsi="Times New Roman" w:eastAsia="Times New Roman"/>
          <w:sz w:val="24"/>
        </w:rPr>
        <w:t>[To be completed]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