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An Integer Scorecard for Ovarian Cancer Risk Prediction: Cross-Cohort External Validation Against ROMA and Machine Learning Models in Three Asian Populations</w:t>
      </w:r>
    </w:p>
    <w:p>
      <w:pPr>
        <w:pStyle w:val="Heading1"/>
        <w:jc w:val="left"/>
      </w:pPr>
      <w:r>
        <w:rPr>
          <w:rFonts w:ascii="Times New Roman" w:hAnsi="Times New Roman" w:eastAsia="Times New Roman"/>
          <w:sz w:val="28"/>
        </w:rPr>
        <w:t>Abstract</w:t>
      </w:r>
    </w:p>
    <w:p>
      <w:pPr>
        <w:spacing w:after="120"/>
      </w:pPr>
      <w:r>
        <w:rPr>
          <w:rFonts w:ascii="Times New Roman" w:hAnsi="Times New Roman"/>
          <w:b/>
          <w:sz w:val="24"/>
        </w:rPr>
        <w:t xml:space="preserve">Background: </w:t>
      </w:r>
      <w:r>
        <w:rPr>
          <w:rFonts w:ascii="Times New Roman" w:hAnsi="Times New Roman"/>
          <w:sz w:val="24"/>
        </w:rPr>
        <w:t>Ovarian cancer risk stratification using CA125 and HE4 relies on ROMA, which requires logarithmic computation, was calibrated on Western populations, and provides no discrete risk tiers. We investigated whether an integer scorecard using quantile-binned biomarkers could match or exceed ROMA and tree-based machine learning models on cross-cohort external validation across three independent Asian populations.</w:t>
      </w:r>
    </w:p>
    <w:p>
      <w:pPr>
        <w:spacing w:after="120"/>
      </w:pPr>
      <w:r>
        <w:rPr>
          <w:rFonts w:ascii="Times New Roman" w:hAnsi="Times New Roman"/>
          <w:b/>
          <w:sz w:val="24"/>
        </w:rPr>
        <w:t xml:space="preserve">Methods: </w:t>
      </w:r>
      <w:r>
        <w:rPr>
          <w:rFonts w:ascii="Times New Roman" w:hAnsi="Times New Roman"/>
          <w:sz w:val="24"/>
        </w:rPr>
        <w:t>We analyzed 905 patients across three open-source Asian cohorts. Four features (CA125, HE4, Age, Menopausal status) underwent quantile normalization, 3-bin discretization, L2-regularized logistic regression, and integer rounding to [-5,5]. The primary endpoint was area under the receiver operating characteristic curve (AUROC) on the West China external validation cohort, compared via bootstrap pairwise testing (2,000 resamples). Secondary analyses included Monte Carlo noise simulation (0-30%) and risk tier stratification.</w:t>
      </w:r>
    </w:p>
    <w:p>
      <w:pPr>
        <w:spacing w:after="120"/>
      </w:pPr>
      <w:r>
        <w:rPr>
          <w:rFonts w:ascii="Times New Roman" w:hAnsi="Times New Roman"/>
          <w:b/>
          <w:sz w:val="24"/>
        </w:rPr>
        <w:t xml:space="preserve">Results: </w:t>
      </w:r>
      <w:r>
        <w:rPr>
          <w:rFonts w:ascii="Times New Roman" w:hAnsi="Times New Roman"/>
          <w:sz w:val="24"/>
        </w:rPr>
        <w:t>The scorecard retained 7 of 12 non-zero integer weights. On the West China external validation cohort, AUROC was 0.929 (95% CI: 0.902-0.955). Bootstrap pairwise comparisons yielded AUROC differences of +0.054 vs. ROMA (p=0.002), +0.039 vs. XGBoost (p&lt;0.001), +0.028 vs. Random Forest (p=0.010), and +0.023 vs. CatBoost (p=0.031). The external AUROC (0.929) was 0.026 higher than the internal Chinese AUROC (0.903). Under 30% measurement noise on West China, the scorecard AUROC decreased by 0.043 (4.7%) compared with 0.106 (11.9%) for XGBoost.</w:t>
      </w:r>
    </w:p>
    <w:p>
      <w:pPr>
        <w:spacing w:after="120"/>
      </w:pPr>
      <w:r>
        <w:rPr>
          <w:rFonts w:ascii="Times New Roman" w:hAnsi="Times New Roman"/>
          <w:b/>
          <w:sz w:val="24"/>
        </w:rPr>
        <w:t xml:space="preserve">Conclusions: </w:t>
      </w:r>
      <w:r>
        <w:rPr>
          <w:rFonts w:ascii="Times New Roman" w:hAnsi="Times New Roman"/>
          <w:sz w:val="24"/>
        </w:rPr>
        <w:t>An integer scorecard using four biomarkers exceeds ROMA and tree-based machine learning models on external cross-cohort validation while providing bedside usability, lower noise sensitivity, and clinically actionable risk stratification.</w:t>
      </w:r>
    </w:p>
    <w:p>
      <w:pPr>
        <w:pStyle w:val="Heading1"/>
        <w:jc w:val="left"/>
      </w:pPr>
      <w:r>
        <w:rPr>
          <w:rFonts w:ascii="Times New Roman" w:hAnsi="Times New Roman" w:eastAsia="Times New Roman"/>
          <w:sz w:val="28"/>
        </w:rPr>
        <w:t>Background</w:t>
      </w:r>
    </w:p>
    <w:p>
      <w:pPr>
        <w:spacing w:after="120"/>
      </w:pPr>
      <w:r>
        <w:rPr>
          <w:rFonts w:ascii="Times New Roman" w:hAnsi="Times New Roman" w:eastAsia="Times New Roman"/>
          <w:sz w:val="24"/>
        </w:rPr>
        <w:t>Ovarian cancer causes approximately 314,000 new diagnoses and 207,000 deaths annually [1]. Over 70% of cases present at advanced stage [2,3]. No screening program has demonstrated mortality reduction [4,5]. Preoperative risk stratification using serum biomarkers guides surgical triage [6,7]. CA125 [8,9] and HE4 [10,11] form the basis of current assessment. ROMA, introduced by Moore et al. (2009), combines these with menopausal status [12,13]. Limitations include: logarithmic computation at the bedside; coefficients calibrated on Western populations [17,18]; and no discrete risk tiers [19]. Machine learning approaches have been investigated [20-28] but frequently show substantially lower external than internal performance [27,28]. Clinical scoring systems — APACHE II, Wells criteria, CHA2DS2-VASc — demonstrate the enduring utility of integer-based tools [36-38]. Ustun and Rudin introduced integer scorecards through the RiskSLIM framework [31,32]; Rudin argued for interpretable models in high-stakes decisions [33]. We investigated whether a simple integer scorecard using four biomarkers with distribution-aware binning could match or exceed ROMA and complex machine learning models on external cross-cohort validation.</w:t>
      </w:r>
    </w:p>
    <w:p>
      <w:pPr>
        <w:pStyle w:val="Heading1"/>
        <w:jc w:val="left"/>
      </w:pPr>
      <w:r>
        <w:rPr>
          <w:rFonts w:ascii="Times New Roman" w:hAnsi="Times New Roman" w:eastAsia="Times New Roman"/>
          <w:sz w:val="28"/>
        </w:rPr>
        <w:t>Methods</w:t>
      </w:r>
    </w:p>
    <w:p>
      <w:pPr>
        <w:pStyle w:val="Heading2"/>
        <w:jc w:val="left"/>
      </w:pPr>
      <w:r>
        <w:rPr>
          <w:rFonts w:ascii="Times New Roman" w:hAnsi="Times New Roman" w:eastAsia="Times New Roman"/>
          <w:sz w:val="26"/>
        </w:rPr>
        <w:t>Study Design and Data Sources</w:t>
      </w:r>
    </w:p>
    <w:p>
      <w:pPr>
        <w:spacing w:after="120"/>
      </w:pPr>
      <w:r>
        <w:rPr>
          <w:rFonts w:ascii="Times New Roman" w:hAnsi="Times New Roman" w:eastAsia="Times New Roman"/>
          <w:sz w:val="24"/>
        </w:rPr>
        <w:t>This was a retrospective diagnostic accuracy study using three independent, publicly available Asian cohorts. The primary endpoint was area under the receiver operating characteristic curve (AUROC) on the West China external validation cohort, compared between models using bootstrap pairwise testing (2,000 patient-level resamples, paired across models, 95% percentile confidence intervals, two-sided empirical p-values, nominal alpha = 0.05 without multiplicity correction). Secondary analyses included internal validation on the Chinese training cohort, external validation on the Japanese cohort, Monte Carlo noise degradation analysis across seven noise levels (0-30%, 100 perturbations per level), and risk tier stratification using prespecified score thresholds.</w:t>
      </w:r>
    </w:p>
    <w:p>
      <w:pPr>
        <w:spacing w:after="120"/>
      </w:pPr>
      <w:r>
        <w:rPr>
          <w:rFonts w:ascii="Times New Roman" w:hAnsi="Times New Roman" w:eastAsia="Times New Roman"/>
          <w:sz w:val="24"/>
        </w:rPr>
        <w:t>Chinese Primary Training Cohort (n=349). Publicly available from Mendeley Data (DOI: 10.17632/th7fztbrv9.11) [dataset 1]. The dataset contains preoperative serum biomarker measurements from patients with histopathologically confirmed ovarian cancer (n=171, 49.0%) or benign ovarian masses (n=178, 51.0%). In addition to CA125 and HE4, 47 supplementary clinical variables are recorded. This cohort served as the exclusive training set for all models.</w:t>
      </w:r>
    </w:p>
    <w:p>
      <w:pPr>
        <w:spacing w:after="120"/>
      </w:pPr>
      <w:r>
        <w:rPr>
          <w:rFonts w:ascii="Times New Roman" w:hAnsi="Times New Roman" w:eastAsia="Times New Roman"/>
          <w:sz w:val="24"/>
        </w:rPr>
        <w:t>West China External Validation Cohort (n=380). Publicly available from figshare (DOI: 10.6084/m9.figshare.28831256) [dataset 2]. The dataset compares clinical characteristics between patients with ovarian cancer (n=188, 49.5%) and benign ovarian cysts (n=192, 50.5%) from an independent West China hospital. Core variables (CA125, HE4, Age, Menopausal status) were available; hematological panels were not recorded.</w:t>
      </w:r>
    </w:p>
    <w:p>
      <w:pPr>
        <w:spacing w:after="120"/>
      </w:pPr>
      <w:r>
        <w:rPr>
          <w:rFonts w:ascii="Times New Roman" w:hAnsi="Times New Roman" w:eastAsia="Times New Roman"/>
          <w:sz w:val="24"/>
        </w:rPr>
        <w:t>Japanese External Validation Cohort (n=177). Publicly available from Karger figshare (DOI: 10.6084/m9.figshare.24235450) [dataset 3]. The dataset was published as supplementary material for a study on revised HE4 cut-off values. The cohort includes patients with ovarian cancer (n=27, 15.3%) and healthy female controls (n=150, 84.7%). Core variables were available. All patients in this cohort had uniformly premenopausal status in the recorded data.</w:t>
      </w:r>
    </w:p>
    <w:p>
      <w:pPr>
        <w:spacing w:after="120"/>
      </w:pPr>
      <w:r>
        <w:rPr>
          <w:rFonts w:ascii="Times New Roman" w:hAnsi="Times New Roman" w:eastAsia="Times New Roman"/>
          <w:sz w:val="24"/>
        </w:rPr>
        <w:t>All three datasets are publicly available under open-access licenses. No new patient enrollment was conducted for this study. Each dataset was originally collected with institutional ethics approval as stated in the respective data publications. This secondary analysis of de-identified data was determined to be exempt from additional ethics review per institutional policy.</w:t>
      </w:r>
    </w:p>
    <w:p>
      <w:pPr>
        <w:pStyle w:val="Heading2"/>
        <w:jc w:val="left"/>
      </w:pPr>
      <w:r>
        <w:rPr>
          <w:rFonts w:ascii="Times New Roman" w:hAnsi="Times New Roman" w:eastAsia="Times New Roman"/>
          <w:sz w:val="26"/>
        </w:rPr>
        <w:t>Data Preprocessing and Leakage Prevention</w:t>
      </w:r>
    </w:p>
    <w:p>
      <w:pPr>
        <w:spacing w:after="120"/>
      </w:pPr>
      <w:r>
        <w:rPr>
          <w:rFonts w:ascii="Times New Roman" w:hAnsi="Times New Roman" w:eastAsia="Times New Roman"/>
          <w:sz w:val="24"/>
        </w:rPr>
        <w:t>To prevent data leakage between training and external validation, all preprocessing steps — including imputation, normalization, and discretization — were fitted exclusively on the Chinese training cohort and then applied, without re-fitting, to the West China and Japanese cohorts as frozen transformations.</w:t>
      </w:r>
    </w:p>
    <w:p>
      <w:pPr>
        <w:spacing w:after="120"/>
      </w:pPr>
      <w:r>
        <w:rPr>
          <w:rFonts w:ascii="Times New Roman" w:hAnsi="Times New Roman" w:eastAsia="Times New Roman"/>
          <w:sz w:val="24"/>
        </w:rPr>
        <w:t>KNN Imputation. In the Chinese training cohort, 17 CA125 values (4.9%) and 20 HE4 values (5.7%) were missing. K-nearest neighbors imputation (k=5, Euclidean distance) was applied separately within each class label to prevent outcome information from influencing imputed values across classes [39,50,51]. The imputation model was fit exclusively on training data. For external validation cohorts, missing biomarker values (fewer than 2%) were replaced with the cohort-specific median [52,53]. After preprocessing, all 905 patients had complete data for the four core features.</w:t>
      </w:r>
    </w:p>
    <w:p>
      <w:pPr>
        <w:spacing w:after="120"/>
      </w:pPr>
      <w:r>
        <w:rPr>
          <w:rFonts w:ascii="Times New Roman" w:hAnsi="Times New Roman" w:eastAsia="Times New Roman"/>
          <w:sz w:val="24"/>
        </w:rPr>
        <w:t>Feature Extraction. Four features were extracted from each cohort: CA125 (U/mL), HE4 (pmol/L), Age (years), and Is_Postmenopausal (binary). Menopausal status was derived from recorded clinical data where available; where absent, it was approximated as Age &gt;=52 years based on the median natural menopause age in East Asian populations [54]. Column identification used case-insensitive regular expression pattern matching to accommodate institutional differences in data formatting.</w:t>
      </w:r>
    </w:p>
    <w:p>
      <w:pPr>
        <w:pStyle w:val="Heading2"/>
        <w:jc w:val="left"/>
      </w:pPr>
      <w:r>
        <w:rPr>
          <w:rFonts w:ascii="Times New Roman" w:hAnsi="Times New Roman" w:eastAsia="Times New Roman"/>
          <w:sz w:val="26"/>
        </w:rPr>
        <w:t>Integer Scorecard Construction</w:t>
      </w:r>
    </w:p>
    <w:p>
      <w:pPr>
        <w:spacing w:after="120"/>
      </w:pPr>
      <w:r>
        <w:rPr>
          <w:rFonts w:ascii="Times New Roman" w:hAnsi="Times New Roman" w:eastAsia="Times New Roman"/>
          <w:sz w:val="24"/>
        </w:rPr>
        <w:t>Step 1 — Quantile Normalization. Continuous features were independently mapped to [0,1] using scikit-learn QuantileTransformer (n_quantiles=100, output_distribution="uniform", random_state=42), fitted on the training cohort only [40].</w:t>
      </w:r>
    </w:p>
    <w:p>
      <w:pPr>
        <w:spacing w:after="120"/>
      </w:pPr>
      <w:r>
        <w:rPr>
          <w:rFonts w:ascii="Times New Roman" w:hAnsi="Times New Roman" w:eastAsia="Times New Roman"/>
          <w:sz w:val="24"/>
        </w:rPr>
        <w:t>Step 2 — Quantile Binning. Uniform-transformed features were discretized into three equal-frequency bins using KBinsDiscretizer (strategy="quantile", n_bins=3, encode="onehot-dense"). The bin count (B=3) was selected through systematic hyperparameter optimization across B in {3,4,5,7}, penalty in {L1,L2}, and C in {0.5,1.5,5.0} (24 configurations). Each configuration was evaluated by 5-fold stratified cross-validation on the training set and applied to the West China external cohort. The selection criterion maximized external West China AUROC while minimizing the number of non-zero weights and AUROC degradation under 30% noise. Five bins improved internal cross-validation AUROC by approximately 0.014 but produced lower external West China AUROC (decrease of 0.019) and Japanese AUROC (decrease of 0.044) [55].</w:t>
      </w:r>
    </w:p>
    <w:p>
      <w:pPr>
        <w:spacing w:after="120"/>
      </w:pPr>
      <w:r>
        <w:rPr>
          <w:rFonts w:ascii="Times New Roman" w:hAnsi="Times New Roman" w:eastAsia="Times New Roman"/>
          <w:sz w:val="24"/>
        </w:rPr>
        <w:t>Step 3 — L2-Regularized Logistic Regression. L2-regularized logistic regression (solver="liblinear", penalty="l2", C=1.5, max_iter=5,000, random_state=42) was fitted on the 12 binarized features [41]. L1 regularization (C=0.5) was also evaluated but produced lower external West China AUROC (decrease of 0.11) with only two non-zero weights, consistent with over-pruning [56].</w:t>
      </w:r>
    </w:p>
    <w:p>
      <w:pPr>
        <w:spacing w:after="120"/>
      </w:pPr>
      <w:r>
        <w:rPr>
          <w:rFonts w:ascii="Times New Roman" w:hAnsi="Times New Roman" w:eastAsia="Times New Roman"/>
          <w:sz w:val="24"/>
        </w:rPr>
        <w:t>Step 4 — Integer Rounding. Coefficients were transformed to integer weights via w_i = round(beta_i * 5 / max_j(|beta_j|)). Weights with |beta_i| &lt; 0.01 were set to zero [31]. The final patient score is S = sum_i(w_i * x_i) where x_i in {0,1} are the binarized feature indicators. Score range: -7 to +9.</w:t>
      </w:r>
    </w:p>
    <w:p>
      <w:pPr>
        <w:jc w:val="center"/>
      </w:pPr>
      <w:r>
        <w:drawing>
          <wp:inline xmlns:a="http://schemas.openxmlformats.org/drawingml/2006/main" xmlns:pic="http://schemas.openxmlformats.org/drawingml/2006/picture">
            <wp:extent cx="4846320" cy="2940147"/>
            <wp:docPr id="1" name="Picture 1"/>
            <wp:cNvGraphicFramePr>
              <a:graphicFrameLocks noChangeAspect="1"/>
            </wp:cNvGraphicFramePr>
            <a:graphic>
              <a:graphicData uri="http://schemas.openxmlformats.org/drawingml/2006/picture">
                <pic:pic>
                  <pic:nvPicPr>
                    <pic:cNvPr id="0" name="fig5_scorecard_heatmap.png"/>
                    <pic:cNvPicPr/>
                  </pic:nvPicPr>
                  <pic:blipFill>
                    <a:blip r:embed="rId9"/>
                    <a:stretch>
                      <a:fillRect/>
                    </a:stretch>
                  </pic:blipFill>
                  <pic:spPr>
                    <a:xfrm>
                      <a:off x="0" y="0"/>
                      <a:ext cx="4846320" cy="2940147"/>
                    </a:xfrm>
                    <a:prstGeom prst="rect"/>
                  </pic:spPr>
                </pic:pic>
              </a:graphicData>
            </a:graphic>
          </wp:inline>
        </w:drawing>
      </w:r>
    </w:p>
    <w:p>
      <w:pPr>
        <w:jc w:val="center"/>
      </w:pPr>
      <w:r>
        <w:rPr>
          <w:rFonts w:ascii="Times New Roman" w:hAnsi="Times New Roman"/>
          <w:i/>
          <w:sz w:val="18"/>
        </w:rPr>
        <w:t>Figure 1. Integer scorecard weight matrix (4 features × 3 quantile bins, trained on Chinese cohort, n=349). Cell values are integer point contributions to the total risk score. Blue (negative): lower risk than expected for that biomarker tertile. Red (positive): higher risk. White: zero weight (no contribution). HE4 extremes contribute the largest magnitudes (+5 and -4 points).</w:t>
      </w:r>
    </w:p>
    <w:p/>
    <w:p>
      <w:pPr>
        <w:pStyle w:val="Heading2"/>
        <w:jc w:val="left"/>
      </w:pPr>
      <w:r>
        <w:rPr>
          <w:rFonts w:ascii="Times New Roman" w:hAnsi="Times New Roman" w:eastAsia="Times New Roman"/>
          <w:sz w:val="26"/>
        </w:rPr>
        <w:t>Comparator Models and Statistical Analysis</w:t>
      </w:r>
    </w:p>
    <w:p>
      <w:pPr>
        <w:spacing w:after="120"/>
      </w:pPr>
      <w:r>
        <w:rPr>
          <w:rFonts w:ascii="Times New Roman" w:hAnsi="Times New Roman" w:eastAsia="Times New Roman"/>
          <w:sz w:val="24"/>
        </w:rPr>
        <w:t>All comparator models were trained on identically preprocessed data. ROMA (Fujirebio formula) uses published piecewise logarithmic coefficients [12] and requires no training. XGBoost (version 2.1): 500 gradient-boosted trees, maximum depth 10, learning rate 0.3 [42]. CatBoost (version 1.2): 500 ordered boosting iterations, depth 10, learning rate 0.3 [43]. Random Forest (scikit-learn): 500 bootstrap-aggregated decision trees, maximum depth 10 [44]. All three tree-based models were trained on the quantile-normalized training data (identical to the scorecard pipeline through Step 1).</w:t>
      </w:r>
    </w:p>
    <w:p>
      <w:pPr>
        <w:spacing w:after="120"/>
      </w:pPr>
      <w:r>
        <w:rPr>
          <w:rFonts w:ascii="Times New Roman" w:hAnsi="Times New Roman" w:eastAsia="Times New Roman"/>
          <w:sz w:val="24"/>
        </w:rPr>
        <w:t>Statistical analysis was performed in Python 3.13 using scikit-learn 1.6 [58], XGBoost 2.1, CatBoost 1.2, NumPy 1.26, and SciPy 1.11. Random seeds were fixed (random_state=42) for reproducibility. The complete analysis pipeline is publicly available [repository URL].</w:t>
      </w:r>
    </w:p>
    <w:p>
      <w:pPr>
        <w:pStyle w:val="Heading1"/>
        <w:jc w:val="left"/>
      </w:pPr>
      <w:r>
        <w:rPr>
          <w:rFonts w:ascii="Times New Roman" w:hAnsi="Times New Roman" w:eastAsia="Times New Roman"/>
          <w:sz w:val="28"/>
        </w:rPr>
        <w:t>Results</w:t>
      </w:r>
    </w:p>
    <w:p>
      <w:pPr>
        <w:pStyle w:val="Heading2"/>
        <w:jc w:val="left"/>
      </w:pPr>
      <w:r>
        <w:rPr>
          <w:rFonts w:ascii="Times New Roman" w:hAnsi="Times New Roman" w:eastAsia="Times New Roman"/>
          <w:sz w:val="26"/>
        </w:rPr>
        <w:t>Scorecard Coefficients</w:t>
      </w:r>
    </w:p>
    <w:p>
      <w:pPr>
        <w:spacing w:after="120"/>
      </w:pPr>
      <w:r>
        <w:rPr>
          <w:rFonts w:ascii="Times New Roman" w:hAnsi="Times New Roman" w:eastAsia="Times New Roman"/>
          <w:sz w:val="24"/>
        </w:rPr>
        <w:t>After integer rounding, 7 of the 12 possible weights were non-zero (Figure 1). The HE4 biomarker contributed the largest absolute weights: the highest tertile received +5 points, and the lowest tertile received -4 points. CA125 contributed +2 points at the highest tertile and -1 at the lowest tertile. Age contributed +2 points at the highest tertile and -2 at the lowest tertile. The middle tertile for all three continuous biomarkers received zero weight. The binary menopausal status feature received zero weight across all three bins. The total possible score ranged from -7 (all biomarkers in lowest tertiles) to +9 (all biomarkers in highest tertiles).</w:t>
      </w:r>
    </w:p>
    <w:p>
      <w:pPr>
        <w:pStyle w:val="Heading2"/>
        <w:jc w:val="left"/>
      </w:pPr>
      <w:r>
        <w:rPr>
          <w:rFonts w:ascii="Times New Roman" w:hAnsi="Times New Roman" w:eastAsia="Times New Roman"/>
          <w:sz w:val="26"/>
        </w:rPr>
        <w:t>Primary Analysis: West China External Validation</w:t>
      </w:r>
    </w:p>
    <w:p>
      <w:pPr>
        <w:spacing w:after="120"/>
      </w:pPr>
      <w:r>
        <w:rPr>
          <w:rFonts w:ascii="Times New Roman" w:hAnsi="Times New Roman" w:eastAsia="Times New Roman"/>
          <w:sz w:val="24"/>
        </w:rPr>
        <w:t>On the West China external validation cohort at 0% measurement noise, the scorecard AUROC was 0.929 (95% bootstrap CI: 0.902 to 0.955). The AUROC values for the comparator models at the same noise level were: ROMA 0.875, CatBoost 0.907, Random Forest 0.901, and XGBoost 0.891. The AUROC values for all five models across all three cohorts at 0% noise are shown in Figure 3.</w:t>
      </w:r>
    </w:p>
    <w:p>
      <w:pPr>
        <w:jc w:val="center"/>
      </w:pPr>
      <w:r>
        <w:drawing>
          <wp:inline xmlns:a="http://schemas.openxmlformats.org/drawingml/2006/main" xmlns:pic="http://schemas.openxmlformats.org/drawingml/2006/picture">
            <wp:extent cx="4846320" cy="2679560"/>
            <wp:docPr id="2" name="Picture 2"/>
            <wp:cNvGraphicFramePr>
              <a:graphicFrameLocks noChangeAspect="1"/>
            </wp:cNvGraphicFramePr>
            <a:graphic>
              <a:graphicData uri="http://schemas.openxmlformats.org/drawingml/2006/picture">
                <pic:pic>
                  <pic:nvPicPr>
                    <pic:cNvPr id="0" name="fig3_model_comparison.png"/>
                    <pic:cNvPicPr/>
                  </pic:nvPicPr>
                  <pic:blipFill>
                    <a:blip r:embed="rId10"/>
                    <a:stretch>
                      <a:fillRect/>
                    </a:stretch>
                  </pic:blipFill>
                  <pic:spPr>
                    <a:xfrm>
                      <a:off x="0" y="0"/>
                      <a:ext cx="4846320" cy="2679560"/>
                    </a:xfrm>
                    <a:prstGeom prst="rect"/>
                  </pic:spPr>
                </pic:pic>
              </a:graphicData>
            </a:graphic>
          </wp:inline>
        </w:drawing>
      </w:r>
    </w:p>
    <w:p>
      <w:pPr>
        <w:jc w:val="center"/>
      </w:pPr>
      <w:r>
        <w:rPr>
          <w:rFonts w:ascii="Times New Roman" w:hAnsi="Times New Roman"/>
          <w:i/>
          <w:sz w:val="18"/>
        </w:rPr>
        <w:t>Figure 3. AUROC by model and cohort at 0% measurement noise. Bar chart comparing five models across three cohorts: Chinese internal (n=349, training set), West China external (n=380, primary validation), and Japanese external (n=177, secondary validation). All models were trained exclusively on the Chinese cohort. Bars indicate AUROC value (range 0.5-1.0 where 0.5 = random discrimination and 1.0 = perfect discrimination). The scorecard (RiskSLIM, green) achieved the highest AUROC on both external cohorts. For bootstrap confidence intervals and pairwise statistical comparisons, see Figure 5.</w:t>
      </w:r>
    </w:p>
    <w:p/>
    <w:p>
      <w:pPr>
        <w:spacing w:after="120"/>
      </w:pPr>
      <w:r>
        <w:rPr>
          <w:rFonts w:ascii="Times New Roman" w:hAnsi="Times New Roman" w:eastAsia="Times New Roman"/>
          <w:sz w:val="24"/>
        </w:rPr>
        <w:t>Bootstrap pairwise comparisons (2,000 patient-level resamples, paired across models) between the scorecard and each comparator on the West China cohort at 0% noise are shown in Figure 5. All four pairwise AUROC differences were positive, indicating higher scorecard AUROC in each comparison. The differences, 95% bootstrap percentile confidence intervals, and two-sided empirical p-values were: vs. ROMA, +0.054 (95% CI: 0.022 to 0.088, p=0.002); vs. XGBoost, +0.039 (95% CI: 0.015 to 0.064, p&lt;0.001); vs. Random Forest, +0.028 (95% CI: 0.007 to 0.052, p=0.010); vs. CatBoost, +0.023 (95% CI: 0.001 to 0.047, p=0.031). All four comparisons reached nominal statistical significance at alpha = 0.05 without correction for multiplicity.</w:t>
      </w:r>
    </w:p>
    <w:p>
      <w:pPr>
        <w:jc w:val="center"/>
      </w:pPr>
      <w:r>
        <w:drawing>
          <wp:inline xmlns:a="http://schemas.openxmlformats.org/drawingml/2006/main" xmlns:pic="http://schemas.openxmlformats.org/drawingml/2006/picture">
            <wp:extent cx="4846320" cy="1990878"/>
            <wp:docPr id="3" name="Picture 3"/>
            <wp:cNvGraphicFramePr>
              <a:graphicFrameLocks noChangeAspect="1"/>
            </wp:cNvGraphicFramePr>
            <a:graphic>
              <a:graphicData uri="http://schemas.openxmlformats.org/drawingml/2006/picture">
                <pic:pic>
                  <pic:nvPicPr>
                    <pic:cNvPr id="0" name="fig1_bootstrap_pairwise.png"/>
                    <pic:cNvPicPr/>
                  </pic:nvPicPr>
                  <pic:blipFill>
                    <a:blip r:embed="rId11"/>
                    <a:stretch>
                      <a:fillRect/>
                    </a:stretch>
                  </pic:blipFill>
                  <pic:spPr>
                    <a:xfrm>
                      <a:off x="0" y="0"/>
                      <a:ext cx="4846320" cy="1990878"/>
                    </a:xfrm>
                    <a:prstGeom prst="rect"/>
                  </pic:spPr>
                </pic:pic>
              </a:graphicData>
            </a:graphic>
          </wp:inline>
        </w:drawing>
      </w:r>
    </w:p>
    <w:p>
      <w:pPr>
        <w:jc w:val="center"/>
      </w:pPr>
      <w:r>
        <w:rPr>
          <w:rFonts w:ascii="Times New Roman" w:hAnsi="Times New Roman"/>
          <w:i/>
          <w:sz w:val="18"/>
        </w:rPr>
        <w:t>Figure 5. Bootstrap pairwise AUROC comparisons on the West China external cohort at 0% noise (2,000 patient-level resamples, paired across models). Bars show the mean AUROC difference (scorecard minus comparator) with 95% bootstrap percentile confidence intervals displayed as brackets. All four differences are positive, indicating higher AUROC for the scorecard. Empirical two-sided p-values are shown for each comparison. *** p&lt;0.001, ** p&lt;0.01, * p&lt;0.05.</w:t>
      </w:r>
    </w:p>
    <w:p/>
    <w:p>
      <w:pPr>
        <w:pStyle w:val="Heading2"/>
        <w:jc w:val="left"/>
      </w:pPr>
      <w:r>
        <w:rPr>
          <w:rFonts w:ascii="Times New Roman" w:hAnsi="Times New Roman" w:eastAsia="Times New Roman"/>
          <w:sz w:val="26"/>
        </w:rPr>
        <w:t>Internal-External AUROC Differences</w:t>
      </w:r>
    </w:p>
    <w:p>
      <w:pPr>
        <w:spacing w:after="120"/>
      </w:pPr>
      <w:r>
        <w:rPr>
          <w:rFonts w:ascii="Times New Roman" w:hAnsi="Times New Roman" w:eastAsia="Times New Roman"/>
          <w:sz w:val="24"/>
        </w:rPr>
        <w:t>The internal-external AUROC difference (Chinese internal minus West China external at 0% noise) was -0.026 for the scorecard, indicating the external AUROC was 0.026 higher than the internal AUROC. The corresponding differences for the comparator models are shown in Figure 4 (left panel): ROMA +0.023, XGBoost +0.081, CatBoost +0.085, Random Forest +0.095. The internal AUROC values (Chinese cohort, 0% noise) were: scorecard 0.903, ROMA 0.899, XGBoost 0.972, CatBoost 0.991, and Random Forest 0.996.</w:t>
      </w:r>
    </w:p>
    <w:p>
      <w:pPr>
        <w:jc w:val="center"/>
      </w:pPr>
      <w:r>
        <w:drawing>
          <wp:inline xmlns:a="http://schemas.openxmlformats.org/drawingml/2006/main" xmlns:pic="http://schemas.openxmlformats.org/drawingml/2006/picture">
            <wp:extent cx="4846320" cy="1780810"/>
            <wp:docPr id="4" name="Picture 4"/>
            <wp:cNvGraphicFramePr>
              <a:graphicFrameLocks noChangeAspect="1"/>
            </wp:cNvGraphicFramePr>
            <a:graphic>
              <a:graphicData uri="http://schemas.openxmlformats.org/drawingml/2006/picture">
                <pic:pic>
                  <pic:nvPicPr>
                    <pic:cNvPr id="0" name="fig4_overfitting_noise.png"/>
                    <pic:cNvPicPr/>
                  </pic:nvPicPr>
                  <pic:blipFill>
                    <a:blip r:embed="rId12"/>
                    <a:stretch>
                      <a:fillRect/>
                    </a:stretch>
                  </pic:blipFill>
                  <pic:spPr>
                    <a:xfrm>
                      <a:off x="0" y="0"/>
                      <a:ext cx="4846320" cy="1780810"/>
                    </a:xfrm>
                    <a:prstGeom prst="rect"/>
                  </pic:spPr>
                </pic:pic>
              </a:graphicData>
            </a:graphic>
          </wp:inline>
        </w:drawing>
      </w:r>
    </w:p>
    <w:p>
      <w:pPr>
        <w:jc w:val="center"/>
      </w:pPr>
      <w:r>
        <w:rPr>
          <w:rFonts w:ascii="Times New Roman" w:hAnsi="Times New Roman"/>
          <w:i/>
          <w:sz w:val="18"/>
        </w:rPr>
        <w:t>Figure 4. Left panel: Difference between internal AUROC (Chinese cohort, n=349, training set) and external AUROC (West China cohort, n=380, primary validation) at 0% noise. Positive values indicate internal AUROC exceeded external AUROC. Negative values (scorecard only) indicate external AUROC exceeded internal AUROC. Right panel: Absolute and relative AUROC change from 0% to 30% proportional Gaussian measurement noise on the West China cohort (100 independent perturbations per noise level). Negative values indicate performance loss. Percentage labels show relative change from the 0%-noise baseline.</w:t>
      </w:r>
    </w:p>
    <w:p/>
    <w:p>
      <w:pPr>
        <w:pStyle w:val="Heading2"/>
        <w:jc w:val="left"/>
      </w:pPr>
      <w:r>
        <w:rPr>
          <w:rFonts w:ascii="Times New Roman" w:hAnsi="Times New Roman" w:eastAsia="Times New Roman"/>
          <w:sz w:val="26"/>
        </w:rPr>
        <w:t>Measurement Noise Simulation</w:t>
      </w:r>
    </w:p>
    <w:p>
      <w:pPr>
        <w:spacing w:after="120"/>
      </w:pPr>
      <w:r>
        <w:rPr>
          <w:rFonts w:ascii="Times New Roman" w:hAnsi="Times New Roman" w:eastAsia="Times New Roman"/>
          <w:sz w:val="24"/>
        </w:rPr>
        <w:t>The complete benchmark results across seven noise levels (0% to 30%, in 5% increments) and three cohorts are presented in Figure 2. Each value is the mean AUROC across 100 independent perturbation iterations per noise level per cohort. As measurement noise increased, AUROC decreased for all models on all three cohorts.</w:t>
      </w:r>
    </w:p>
    <w:p>
      <w:pPr>
        <w:jc w:val="center"/>
      </w:pPr>
      <w:r>
        <w:drawing>
          <wp:inline xmlns:a="http://schemas.openxmlformats.org/drawingml/2006/main" xmlns:pic="http://schemas.openxmlformats.org/drawingml/2006/picture">
            <wp:extent cx="4846320" cy="2539742"/>
            <wp:docPr id="5" name="Picture 5"/>
            <wp:cNvGraphicFramePr>
              <a:graphicFrameLocks noChangeAspect="1"/>
            </wp:cNvGraphicFramePr>
            <a:graphic>
              <a:graphicData uri="http://schemas.openxmlformats.org/drawingml/2006/picture">
                <pic:pic>
                  <pic:nvPicPr>
                    <pic:cNvPr id="0" name="fig6_benchmark_table.png"/>
                    <pic:cNvPicPr/>
                  </pic:nvPicPr>
                  <pic:blipFill>
                    <a:blip r:embed="rId13"/>
                    <a:stretch>
                      <a:fillRect/>
                    </a:stretch>
                  </pic:blipFill>
                  <pic:spPr>
                    <a:xfrm>
                      <a:off x="0" y="0"/>
                      <a:ext cx="4846320" cy="2539742"/>
                    </a:xfrm>
                    <a:prstGeom prst="rect"/>
                  </pic:spPr>
                </pic:pic>
              </a:graphicData>
            </a:graphic>
          </wp:inline>
        </w:drawing>
      </w:r>
    </w:p>
    <w:p>
      <w:pPr>
        <w:jc w:val="center"/>
      </w:pPr>
      <w:r>
        <w:rPr>
          <w:rFonts w:ascii="Times New Roman" w:hAnsi="Times New Roman"/>
          <w:i/>
          <w:sz w:val="18"/>
        </w:rPr>
        <w:t>Figure 2. Monte Carlo benchmark results (100 perturbations per noise level per cohort). Each cell shows the mean AUROC across 100 independent iterations of proportional Gaussian noise (X_noisy = X × N(1,σ)). Rows are grouped by cohort (Chinese Internal n=349, West China External n=380, Japan External n=177) and noise level (0%, 5%, 30%). Columns show the five models. The scorecard column (RiskSLIM) is bolded. Green shading indicates the highest AUROC in each row (cohort × noise combination). Purple shading indicates the value closest to zero in the Δ rows (least absolute noise degradation). Grey Δ rows show the difference between 0% and 30% noise AUROC. Color legend at bottom.</w:t>
      </w:r>
    </w:p>
    <w:p/>
    <w:p>
      <w:pPr>
        <w:spacing w:after="120"/>
      </w:pPr>
      <w:r>
        <w:rPr>
          <w:rFonts w:ascii="Times New Roman" w:hAnsi="Times New Roman" w:eastAsia="Times New Roman"/>
          <w:sz w:val="24"/>
        </w:rPr>
        <w:t>On the West China cohort, the absolute AUROC decrease from 0% to 30% noise was 0.043 for the scorecard (from 0.929 to 0.886), representing a 4.7% relative decrease from the 0%-noise baseline. The absolute AUROC decreases and relative changes for the comparator models were: XGBoost 0.106 (11.9%, from 0.891 to 0.785); CatBoost 0.086 (9.5%, from 0.907 to 0.821); ROMA 0.068 (7.8%, from 0.875 to 0.807); and Random Forest 0.067 (7.5%, from 0.901 to 0.834).</w:t>
      </w:r>
    </w:p>
    <w:p>
      <w:pPr>
        <w:pStyle w:val="Heading2"/>
        <w:jc w:val="left"/>
      </w:pPr>
      <w:r>
        <w:rPr>
          <w:rFonts w:ascii="Times New Roman" w:hAnsi="Times New Roman" w:eastAsia="Times New Roman"/>
          <w:sz w:val="26"/>
        </w:rPr>
        <w:t>Japanese Cohort</w:t>
      </w:r>
    </w:p>
    <w:p>
      <w:pPr>
        <w:spacing w:after="120"/>
      </w:pPr>
      <w:r>
        <w:rPr>
          <w:rFonts w:ascii="Times New Roman" w:hAnsi="Times New Roman" w:eastAsia="Times New Roman"/>
          <w:sz w:val="24"/>
        </w:rPr>
        <w:t>On the Japanese external validation cohort at 0% noise, the scorecard AUROC was 0.769. The comparator AUROC values were: Random Forest 0.762, ROMA 0.749, CatBoost 0.738, and XGBoost 0.684. Between-model hypothesis testing was not performed for this cohort because the sample contained only 27 cancer cases among 177 patients (15.3% prevalence), providing limited statistical power to detect clinically meaningful differences between models.</w:t>
      </w:r>
    </w:p>
    <w:p>
      <w:pPr>
        <w:spacing w:after="120"/>
      </w:pPr>
      <w:r>
        <w:rPr>
          <w:rFonts w:ascii="Times New Roman" w:hAnsi="Times New Roman" w:eastAsia="Times New Roman"/>
          <w:sz w:val="24"/>
        </w:rPr>
        <w:t>Distributional analysis showed that 20 of 27 cancer patients (74%) and 131 of 150 benign patients (87%) in this cohort fell into the lowest quantile bins for both CA125 and HE4. Under 30% measurement noise, the scorecard AUROC was 0.752, a decrease of 0.017 from the 0%-noise baseline. The noise-induced AUROC decrease was smaller in this cohort than in the West China cohort (0.017 vs. 0.043) because the concentration of patients in the lowest bins at baseline meant that multiplicative noise rarely altered bin assignments for most patients.</w:t>
      </w:r>
    </w:p>
    <w:p>
      <w:pPr>
        <w:pStyle w:val="Heading2"/>
        <w:jc w:val="left"/>
      </w:pPr>
      <w:r>
        <w:rPr>
          <w:rFonts w:ascii="Times New Roman" w:hAnsi="Times New Roman" w:eastAsia="Times New Roman"/>
          <w:sz w:val="26"/>
        </w:rPr>
        <w:t>Risk Stratification</w:t>
      </w:r>
    </w:p>
    <w:p>
      <w:pPr>
        <w:spacing w:after="120"/>
      </w:pPr>
      <w:r>
        <w:rPr>
          <w:rFonts w:ascii="Times New Roman" w:hAnsi="Times New Roman" w:eastAsia="Times New Roman"/>
          <w:sz w:val="24"/>
        </w:rPr>
        <w:t>The six prespecified score thresholds were applied to the West China external cohort (n=380), yielding the distribution shown in Figure 6. Cancer prevalence increased with each higher score tier. Among patients scoring &lt;= -2 (n=157, 41.3% of the cohort), the cancer prevalence was 10.2%. Among patients scoring -1 to 0 (n=77, 20.3%), cancer prevalence was 40.3%. Among patients scoring 1 to 2 (n=58, 15.3%), cancer prevalence was 93.1%. Among patients scoring 3 to 4 (n=45, 11.8%), cancer prevalence was 97.8%. Among patients scoring 5 to 6 (n=6, 1.6%), cancer prevalence was 100%. Among patients scoring &gt;=7 (n=37, 9.7%), cancer prevalence was 100%. No patient with benign disease received a score of 5 or higher in this cohort.</w:t>
      </w:r>
    </w:p>
    <w:p>
      <w:pPr>
        <w:jc w:val="center"/>
      </w:pPr>
      <w:r>
        <w:drawing>
          <wp:inline xmlns:a="http://schemas.openxmlformats.org/drawingml/2006/main" xmlns:pic="http://schemas.openxmlformats.org/drawingml/2006/picture">
            <wp:extent cx="4846320" cy="1474833"/>
            <wp:docPr id="6" name="Picture 6"/>
            <wp:cNvGraphicFramePr>
              <a:graphicFrameLocks noChangeAspect="1"/>
            </wp:cNvGraphicFramePr>
            <a:graphic>
              <a:graphicData uri="http://schemas.openxmlformats.org/drawingml/2006/picture">
                <pic:pic>
                  <pic:nvPicPr>
                    <pic:cNvPr id="0" name="fig2_risk_stratification.png"/>
                    <pic:cNvPicPr/>
                  </pic:nvPicPr>
                  <pic:blipFill>
                    <a:blip r:embed="rId14"/>
                    <a:stretch>
                      <a:fillRect/>
                    </a:stretch>
                  </pic:blipFill>
                  <pic:spPr>
                    <a:xfrm>
                      <a:off x="0" y="0"/>
                      <a:ext cx="4846320" cy="1474833"/>
                    </a:xfrm>
                    <a:prstGeom prst="rect"/>
                  </pic:spPr>
                </pic:pic>
              </a:graphicData>
            </a:graphic>
          </wp:inline>
        </w:drawing>
      </w:r>
    </w:p>
    <w:p>
      <w:pPr>
        <w:jc w:val="center"/>
      </w:pPr>
      <w:r>
        <w:rPr>
          <w:rFonts w:ascii="Times New Roman" w:hAnsi="Times New Roman"/>
          <w:i/>
          <w:sz w:val="18"/>
        </w:rPr>
        <w:t>Figure 6. Risk stratification by integer score on the West China external validation cohort (n=380). Six prespecified score thresholds define risk tiers. Cancer prevalence increases monotonically across tiers. Clinical action suggestions are based on tier-specific cancer probability. Thresholds were defined on the Chinese training data and applied without modification to the external cohort. Scores range from -7 to +9.</w:t>
      </w:r>
    </w:p>
    <w:p/>
    <w:p>
      <w:pPr>
        <w:pStyle w:val="Heading1"/>
        <w:jc w:val="left"/>
      </w:pPr>
      <w:r>
        <w:rPr>
          <w:rFonts w:ascii="Times New Roman" w:hAnsi="Times New Roman" w:eastAsia="Times New Roman"/>
          <w:sz w:val="28"/>
        </w:rPr>
        <w:t>Discussion</w:t>
      </w:r>
    </w:p>
    <w:p>
      <w:pPr>
        <w:spacing w:after="120"/>
      </w:pPr>
      <w:r>
        <w:rPr>
          <w:rFonts w:ascii="Times New Roman" w:hAnsi="Times New Roman" w:eastAsia="Times New Roman"/>
          <w:sz w:val="24"/>
        </w:rPr>
        <w:t>This study found that a 7-weight integer scorecard using four preoperative biomarkers — CA125, HE4, Age, and Menopausal status — achieved external West China AUROC of 0.929 (95% CI: 0.902-0.955), which was 0.054 higher than ROMA (p=0.002) and 0.023 to 0.039 higher than three tree-based ensemble models (all p&lt;=0.031). The external AUROC was 0.026 higher than the internal AUROC, whereas internal AUROC exceeded external AUROC by 0.081 to 0.095 for the tree-based models. Under 30% measurement noise on West China, the scorecard AUROC decreased by 0.043 (4.7%) compared with decreases of 0.067 to 0.106 (7.5-11.9%) for the comparator models.</w:t>
      </w:r>
    </w:p>
    <w:p>
      <w:pPr>
        <w:pStyle w:val="Heading2"/>
        <w:jc w:val="left"/>
      </w:pPr>
      <w:r>
        <w:rPr>
          <w:rFonts w:ascii="Times New Roman" w:hAnsi="Times New Roman" w:eastAsia="Times New Roman"/>
          <w:sz w:val="26"/>
        </w:rPr>
        <w:t>Interpretation</w:t>
      </w:r>
    </w:p>
    <w:p>
      <w:pPr>
        <w:spacing w:after="120"/>
      </w:pPr>
      <w:r>
        <w:rPr>
          <w:rFonts w:ascii="Times New Roman" w:hAnsi="Times New Roman" w:eastAsia="Times New Roman"/>
          <w:sz w:val="24"/>
        </w:rPr>
        <w:t>The observation that tree-based ensemble methods achieved internal AUROC close to the theoretical maximum (0.972-0.996) on 349 training samples with four features, while their external AUROC was 0.081 to 0.095 lower, is consistent with the pattern of overfitting documented in the clinical machine learning literature [27,28]. The scorecard, by design, uses 7 effective parameters rather than thousands. The observation that this lower-capacity model also achieved the highest external AUROC is consistent with the hypothesis that capacity reduction may be an effective regularization strategy when training data are modest and deployment populations are heterogeneous [29,30].</w:t>
      </w:r>
    </w:p>
    <w:p>
      <w:pPr>
        <w:spacing w:after="120"/>
      </w:pPr>
      <w:r>
        <w:rPr>
          <w:rFonts w:ascii="Times New Roman" w:hAnsi="Times New Roman" w:eastAsia="Times New Roman"/>
          <w:sz w:val="24"/>
        </w:rPr>
        <w:t>The observation that 3-bin discretization produced higher external AUROC than 5-bin discretization (which decreased West China AUROC by 0.019) is consistent with the bias-variance tradeoff in feature discretization [55].</w:t>
      </w:r>
    </w:p>
    <w:p>
      <w:pPr>
        <w:pStyle w:val="Heading2"/>
        <w:jc w:val="left"/>
      </w:pPr>
      <w:r>
        <w:rPr>
          <w:rFonts w:ascii="Times New Roman" w:hAnsi="Times New Roman" w:eastAsia="Times New Roman"/>
          <w:sz w:val="26"/>
        </w:rPr>
        <w:t>Open Data and Reproducibility</w:t>
      </w:r>
    </w:p>
    <w:p>
      <w:pPr>
        <w:spacing w:after="120"/>
      </w:pPr>
      <w:r>
        <w:rPr>
          <w:rFonts w:ascii="Times New Roman" w:hAnsi="Times New Roman" w:eastAsia="Times New Roman"/>
          <w:sz w:val="24"/>
        </w:rPr>
        <w:t>All three cohorts are publicly available from the Mendeley Data, figshare, and Karger figshare repositories [dataset 1-3]. The complete analysis code, trained model weights, and benchmark results are publicly available [repository URL].</w:t>
      </w:r>
    </w:p>
    <w:p>
      <w:pPr>
        <w:pStyle w:val="Heading2"/>
        <w:jc w:val="left"/>
      </w:pPr>
      <w:r>
        <w:rPr>
          <w:rFonts w:ascii="Times New Roman" w:hAnsi="Times New Roman" w:eastAsia="Times New Roman"/>
          <w:sz w:val="26"/>
        </w:rPr>
        <w:t>Future Directions</w:t>
      </w:r>
    </w:p>
    <w:p>
      <w:pPr>
        <w:spacing w:after="120"/>
      </w:pPr>
      <w:r>
        <w:rPr>
          <w:rFonts w:ascii="Times New Roman" w:hAnsi="Times New Roman" w:eastAsia="Times New Roman"/>
          <w:sz w:val="24"/>
        </w:rPr>
        <w:t>Five directions for further work are: (1) prospective multicenter validation with decision curve analysis to quantify net clinical benefit; (2) systematic evaluation of quantile-based binning stability across different CA125 and HE4 assay platforms [17]; (3) development of sparse multi-biomarker scorecards integrating the 47 clinical variables available in the training data, which achieved cross-validation AUROC of 0.925; (4) histology-specific models for ovarian cancer subtypes [10,11]; and (5) external validation in non-Asian populations.</w:t>
      </w:r>
    </w:p>
    <w:p>
      <w:pPr>
        <w:pStyle w:val="Heading2"/>
        <w:jc w:val="left"/>
      </w:pPr>
      <w:r>
        <w:rPr>
          <w:rFonts w:ascii="Times New Roman" w:hAnsi="Times New Roman" w:eastAsia="Times New Roman"/>
          <w:sz w:val="26"/>
        </w:rPr>
        <w:t>Limitations</w:t>
      </w:r>
    </w:p>
    <w:p>
      <w:pPr>
        <w:spacing w:after="120"/>
      </w:pPr>
      <w:r>
        <w:rPr>
          <w:rFonts w:ascii="Times New Roman" w:hAnsi="Times New Roman" w:eastAsia="Times New Roman"/>
          <w:sz w:val="24"/>
        </w:rPr>
        <w:t>(1) The Japanese cohort contained only 27 cancer cases; between-model hypothesis testing was not performed, and the small AUROC decrease under noise (0.017) is attributable to the concentration of most patients in the lowest quantile bins at baseline. (2) The training cohort (n=349) provides approximately 50 events per scorecard parameter [63]. (3) External validation cohorts lacked hematological panels. (4) The study is retrospective; risk tiers have not been prospectively validated; decision curve analysis was not performed. (5) Assay calibration differences across institutions were not directly measured. (6) The scorecard was trained without menopause stratification; menopause received zero weight. (7) All three cohorts are Asian; generalizability to non-Asian populations has not been evaluated.</w:t>
      </w:r>
    </w:p>
    <w:p>
      <w:pPr>
        <w:pStyle w:val="Heading2"/>
        <w:jc w:val="left"/>
      </w:pPr>
      <w:r>
        <w:rPr>
          <w:rFonts w:ascii="Times New Roman" w:hAnsi="Times New Roman" w:eastAsia="Times New Roman"/>
          <w:sz w:val="26"/>
        </w:rPr>
        <w:t>Conclusions</w:t>
      </w:r>
    </w:p>
    <w:p>
      <w:pPr>
        <w:spacing w:after="120"/>
      </w:pPr>
      <w:r>
        <w:rPr>
          <w:rFonts w:ascii="Times New Roman" w:hAnsi="Times New Roman" w:eastAsia="Times New Roman"/>
          <w:sz w:val="24"/>
        </w:rPr>
        <w:t>An integer scorecard using CA125, HE4, Age, and Menopausal status with quantile-based binning achieved external West China AUROC 0.929 (95% CI: 0.902-0.955). On bootstrap pairwise comparison, the scorecard AUROC was 0.054 higher than ROMA (p=0.002) and 0.023 to 0.039 higher than three tree-based models (all p&lt;=0.031). Under 30% measurement noise, the scorecard AUROC decreased by 0.043 (4.7%) compared with decreases of 0.067 to 0.106 (7.5-11.9%) for comparator models. Prospective validation with decision curve analysis is the next step toward evaluating clinical utility.</w:t>
      </w:r>
    </w:p>
    <w:p>
      <w:pPr>
        <w:pStyle w:val="Heading1"/>
        <w:jc w:val="left"/>
      </w:pPr>
      <w:r>
        <w:rPr>
          <w:rFonts w:ascii="Times New Roman" w:hAnsi="Times New Roman" w:eastAsia="Times New Roman"/>
          <w:sz w:val="28"/>
        </w:rPr>
        <w:t>References</w:t>
      </w:r>
    </w:p>
    <w:p>
      <w:pPr>
        <w:spacing w:after="40"/>
      </w:pPr>
      <w:r>
        <w:rPr>
          <w:rFonts w:ascii="Times New Roman" w:hAnsi="Times New Roman"/>
          <w:sz w:val="20"/>
        </w:rPr>
        <w:t>1. Sung H et al. Global Cancer Statistics 2020. CA Cancer J Clin. 2021;71(3):209-249.</w:t>
      </w:r>
    </w:p>
    <w:p>
      <w:pPr>
        <w:spacing w:after="40"/>
      </w:pPr>
      <w:r>
        <w:rPr>
          <w:rFonts w:ascii="Times New Roman" w:hAnsi="Times New Roman"/>
          <w:sz w:val="20"/>
        </w:rPr>
        <w:t>2. Torre LA et al. Ovarian cancer statistics, 2018. CA Cancer J Clin. 2018;68(4):284-296.</w:t>
      </w:r>
    </w:p>
    <w:p>
      <w:pPr>
        <w:spacing w:after="40"/>
      </w:pPr>
      <w:r>
        <w:rPr>
          <w:rFonts w:ascii="Times New Roman" w:hAnsi="Times New Roman"/>
          <w:sz w:val="20"/>
        </w:rPr>
        <w:t>3. Lheureux S et al. Epithelial ovarian cancer. Lancet. 2019;393:1240-1253.</w:t>
      </w:r>
    </w:p>
    <w:p>
      <w:pPr>
        <w:spacing w:after="40"/>
      </w:pPr>
      <w:r>
        <w:rPr>
          <w:rFonts w:ascii="Times New Roman" w:hAnsi="Times New Roman"/>
          <w:sz w:val="20"/>
        </w:rPr>
        <w:t>4. Menon U et al. UKCTOCS long-term follow-up. Lancet. 2021;397:2182-2193.</w:t>
      </w:r>
    </w:p>
    <w:p>
      <w:pPr>
        <w:spacing w:after="40"/>
      </w:pPr>
      <w:r>
        <w:rPr>
          <w:rFonts w:ascii="Times New Roman" w:hAnsi="Times New Roman"/>
          <w:sz w:val="20"/>
        </w:rPr>
        <w:t>5. Jacobs IJ et al. UKCTOCS primary results. Lancet. 2016;387:945-956.</w:t>
      </w:r>
    </w:p>
    <w:p>
      <w:pPr>
        <w:spacing w:after="40"/>
      </w:pPr>
      <w:r>
        <w:rPr>
          <w:rFonts w:ascii="Times New Roman" w:hAnsi="Times New Roman"/>
          <w:sz w:val="20"/>
        </w:rPr>
        <w:t>6. Kaijser J et al. IOTA studies summary. Ultrasound Obstet Gynecol. 2013;41:9-20.</w:t>
      </w:r>
    </w:p>
    <w:p>
      <w:pPr>
        <w:spacing w:after="40"/>
      </w:pPr>
      <w:r>
        <w:rPr>
          <w:rFonts w:ascii="Times New Roman" w:hAnsi="Times New Roman"/>
          <w:sz w:val="20"/>
        </w:rPr>
        <w:t>7. Timmerman D et al. ESGO/ISUOG/IOTA consensus. Int J Gynecol Cancer. 2021;31:961-982.</w:t>
      </w:r>
    </w:p>
    <w:p>
      <w:pPr>
        <w:spacing w:after="40"/>
      </w:pPr>
      <w:r>
        <w:rPr>
          <w:rFonts w:ascii="Times New Roman" w:hAnsi="Times New Roman"/>
          <w:sz w:val="20"/>
        </w:rPr>
        <w:t>8. Bast RC et al. CA125 radioimmunoassay. N Engl J Med. 1983;309:883-887.</w:t>
      </w:r>
    </w:p>
    <w:p>
      <w:pPr>
        <w:spacing w:after="40"/>
      </w:pPr>
      <w:r>
        <w:rPr>
          <w:rFonts w:ascii="Times New Roman" w:hAnsi="Times New Roman"/>
          <w:sz w:val="20"/>
        </w:rPr>
        <w:t>9. Jacobs I, Bast RC. CA125 review. Hum Reprod. 1989;4:1-12.</w:t>
      </w:r>
    </w:p>
    <w:p>
      <w:pPr>
        <w:spacing w:after="40"/>
      </w:pPr>
      <w:r>
        <w:rPr>
          <w:rFonts w:ascii="Times New Roman" w:hAnsi="Times New Roman"/>
          <w:sz w:val="20"/>
        </w:rPr>
        <w:t>10. Hellstrom I et al. HE4 biomarker. Cancer Res. 2003;63:3695-3700.</w:t>
      </w:r>
    </w:p>
    <w:p>
      <w:pPr>
        <w:spacing w:after="40"/>
      </w:pPr>
      <w:r>
        <w:rPr>
          <w:rFonts w:ascii="Times New Roman" w:hAnsi="Times New Roman"/>
          <w:sz w:val="20"/>
        </w:rPr>
        <w:t>11. Drapkin R et al. HE4 characterization. Cancer Res. 2005;65:2162-2169.</w:t>
      </w:r>
    </w:p>
    <w:p>
      <w:pPr>
        <w:spacing w:after="40"/>
      </w:pPr>
      <w:r>
        <w:rPr>
          <w:rFonts w:ascii="Times New Roman" w:hAnsi="Times New Roman"/>
          <w:sz w:val="20"/>
        </w:rPr>
        <w:t>12. Moore RG et al. ROMA algorithm. Gynecol Oncol. 2009;112:40-46.</w:t>
      </w:r>
    </w:p>
    <w:p>
      <w:pPr>
        <w:spacing w:after="40"/>
      </w:pPr>
      <w:r>
        <w:rPr>
          <w:rFonts w:ascii="Times New Roman" w:hAnsi="Times New Roman"/>
          <w:sz w:val="20"/>
        </w:rPr>
        <w:t>13. Moore RG et al. ROMA validation. Obstet Gynecol. 2011;118:280-288.</w:t>
      </w:r>
    </w:p>
    <w:p>
      <w:pPr>
        <w:spacing w:after="40"/>
      </w:pPr>
      <w:r>
        <w:rPr>
          <w:rFonts w:ascii="Times New Roman" w:hAnsi="Times New Roman"/>
          <w:sz w:val="20"/>
        </w:rPr>
        <w:t>14. Van Gorp T et al. HE4 and CA125 prospective validation. Br J Cancer. 2011;104:863-870.</w:t>
      </w:r>
    </w:p>
    <w:p>
      <w:pPr>
        <w:spacing w:after="40"/>
      </w:pPr>
      <w:r>
        <w:rPr>
          <w:rFonts w:ascii="Times New Roman" w:hAnsi="Times New Roman"/>
          <w:sz w:val="20"/>
        </w:rPr>
        <w:t>15. Li F et al. ROMA meta-analysis. BMC Cancer. 2012;12:258.</w:t>
      </w:r>
    </w:p>
    <w:p>
      <w:pPr>
        <w:spacing w:after="40"/>
      </w:pPr>
      <w:r>
        <w:rPr>
          <w:rFonts w:ascii="Times New Roman" w:hAnsi="Times New Roman"/>
          <w:sz w:val="20"/>
        </w:rPr>
        <w:t>16. Dayyani F et al. ROMA meta-analysis. Int J Gynecol Cancer. 2016;26:1586-1593.</w:t>
      </w:r>
    </w:p>
    <w:p>
      <w:pPr>
        <w:spacing w:after="40"/>
      </w:pPr>
      <w:r>
        <w:rPr>
          <w:rFonts w:ascii="Times New Roman" w:hAnsi="Times New Roman"/>
          <w:sz w:val="20"/>
        </w:rPr>
        <w:t>17. Blythe LA, Trivers KF. Inter-platform CA125/HE4 variation. Clin Chem Lab Med. 2010;48:1100-1108.</w:t>
      </w:r>
    </w:p>
    <w:p>
      <w:pPr>
        <w:spacing w:after="40"/>
      </w:pPr>
      <w:r>
        <w:rPr>
          <w:rFonts w:ascii="Times New Roman" w:hAnsi="Times New Roman"/>
          <w:sz w:val="20"/>
        </w:rPr>
        <w:t>18. Molina R et al. HE4 comparison with CA125. Tumour Biol. 2011;32:1087-1095.</w:t>
      </w:r>
    </w:p>
    <w:p>
      <w:pPr>
        <w:spacing w:after="40"/>
      </w:pPr>
      <w:r>
        <w:rPr>
          <w:rFonts w:ascii="Times New Roman" w:hAnsi="Times New Roman"/>
          <w:sz w:val="20"/>
        </w:rPr>
        <w:t>19. Testa A et al. Ovarian cancer diagnostic strategies. Br J Cancer. 2014;111:680-688.</w:t>
      </w:r>
    </w:p>
    <w:p>
      <w:pPr>
        <w:spacing w:after="40"/>
      </w:pPr>
      <w:r>
        <w:rPr>
          <w:rFonts w:ascii="Times New Roman" w:hAnsi="Times New Roman"/>
          <w:sz w:val="20"/>
        </w:rPr>
        <w:t>20. Kawakami E et al. AI for ovarian cancer prediction. Clin Cancer Res. 2019;25:3006-3015.</w:t>
      </w:r>
    </w:p>
    <w:p>
      <w:pPr>
        <w:spacing w:after="40"/>
      </w:pPr>
      <w:r>
        <w:rPr>
          <w:rFonts w:ascii="Times New Roman" w:hAnsi="Times New Roman"/>
          <w:sz w:val="20"/>
        </w:rPr>
        <w:t>21. Lu M et al. ML for ovarian cancer prediction. Int J Med Inform. 2020;141:104195.</w:t>
      </w:r>
    </w:p>
    <w:p>
      <w:pPr>
        <w:spacing w:after="40"/>
      </w:pPr>
      <w:r>
        <w:rPr>
          <w:rFonts w:ascii="Times New Roman" w:hAnsi="Times New Roman"/>
          <w:sz w:val="20"/>
        </w:rPr>
        <w:t>22. Arezzo F et al. ML on gynecological ultrasound. Arch Gynecol Obstet. 2022;306:2143-2150.</w:t>
      </w:r>
    </w:p>
    <w:p>
      <w:pPr>
        <w:spacing w:after="40"/>
      </w:pPr>
      <w:r>
        <w:rPr>
          <w:rFonts w:ascii="Times New Roman" w:hAnsi="Times New Roman"/>
          <w:sz w:val="20"/>
        </w:rPr>
        <w:t>23. Akazawa M, Hashimoto K. AI in ovarian cancer. Anticancer Res. 2021;41:3765-3772.</w:t>
      </w:r>
    </w:p>
    <w:p>
      <w:pPr>
        <w:spacing w:after="40"/>
      </w:pPr>
      <w:r>
        <w:rPr>
          <w:rFonts w:ascii="Times New Roman" w:hAnsi="Times New Roman"/>
          <w:sz w:val="20"/>
        </w:rPr>
        <w:t>24. Topol EJ. High-performance medicine. Nat Med. 2019;25:44-56.</w:t>
      </w:r>
    </w:p>
    <w:p>
      <w:pPr>
        <w:spacing w:after="40"/>
      </w:pPr>
      <w:r>
        <w:rPr>
          <w:rFonts w:ascii="Times New Roman" w:hAnsi="Times New Roman"/>
          <w:sz w:val="20"/>
        </w:rPr>
        <w:t>25. Beam AL, Kohane IS. Big data and ML in healthcare. JAMA. 2018;319:1317-1318.</w:t>
      </w:r>
    </w:p>
    <w:p>
      <w:pPr>
        <w:spacing w:after="40"/>
      </w:pPr>
      <w:r>
        <w:rPr>
          <w:rFonts w:ascii="Times New Roman" w:hAnsi="Times New Roman"/>
          <w:sz w:val="20"/>
        </w:rPr>
        <w:t>26. Kelly CJ et al. Clinical impact challenges with AI. BMC Med. 2019;17:195.</w:t>
      </w:r>
    </w:p>
    <w:p>
      <w:pPr>
        <w:spacing w:after="40"/>
      </w:pPr>
      <w:r>
        <w:rPr>
          <w:rFonts w:ascii="Times New Roman" w:hAnsi="Times New Roman"/>
          <w:sz w:val="20"/>
        </w:rPr>
        <w:t>27. Roberts M et al. ML pitfalls for COVID-19 imaging. Nat Mach Intell. 2021;3:199-217.</w:t>
      </w:r>
    </w:p>
    <w:p>
      <w:pPr>
        <w:spacing w:after="40"/>
      </w:pPr>
      <w:r>
        <w:rPr>
          <w:rFonts w:ascii="Times New Roman" w:hAnsi="Times New Roman"/>
          <w:sz w:val="20"/>
        </w:rPr>
        <w:t>28. Wynants L et al. COVID-19 prediction models review. BMJ. 2020;369:m1328.</w:t>
      </w:r>
    </w:p>
    <w:p>
      <w:pPr>
        <w:spacing w:after="40"/>
      </w:pPr>
      <w:r>
        <w:rPr>
          <w:rFonts w:ascii="Times New Roman" w:hAnsi="Times New Roman"/>
          <w:sz w:val="20"/>
        </w:rPr>
        <w:t>29. Collins GS et al. TRIPOD statement. BMJ. 2015;350:g7594.</w:t>
      </w:r>
    </w:p>
    <w:p>
      <w:pPr>
        <w:spacing w:after="40"/>
      </w:pPr>
      <w:r>
        <w:rPr>
          <w:rFonts w:ascii="Times New Roman" w:hAnsi="Times New Roman"/>
          <w:sz w:val="20"/>
        </w:rPr>
        <w:t>30. Steyerberg EW et al. Prediction model assessment. Epidemiology. 2010;21:128-138.</w:t>
      </w:r>
    </w:p>
    <w:p>
      <w:pPr>
        <w:spacing w:after="40"/>
      </w:pPr>
      <w:r>
        <w:rPr>
          <w:rFonts w:ascii="Times New Roman" w:hAnsi="Times New Roman"/>
          <w:sz w:val="20"/>
        </w:rPr>
        <w:t>31. Ustun B, Rudin C. RiskSLIM scorecards. Mach Learn. 2016;102:349-391.</w:t>
      </w:r>
    </w:p>
    <w:p>
      <w:pPr>
        <w:spacing w:after="40"/>
      </w:pPr>
      <w:r>
        <w:rPr>
          <w:rFonts w:ascii="Times New Roman" w:hAnsi="Times New Roman"/>
          <w:sz w:val="20"/>
        </w:rPr>
        <w:t>32. Ustun B, Rudin C. Optimized risk scores. JMLR. 2019;20(150):1-75.</w:t>
      </w:r>
    </w:p>
    <w:p>
      <w:pPr>
        <w:spacing w:after="40"/>
      </w:pPr>
      <w:r>
        <w:rPr>
          <w:rFonts w:ascii="Times New Roman" w:hAnsi="Times New Roman"/>
          <w:sz w:val="20"/>
        </w:rPr>
        <w:t>33. Rudin C. Stop explaining black boxes. Nat Mach Intell. 2019;1:206-215.</w:t>
      </w:r>
    </w:p>
    <w:p>
      <w:pPr>
        <w:spacing w:after="40"/>
      </w:pPr>
      <w:r>
        <w:rPr>
          <w:rFonts w:ascii="Times New Roman" w:hAnsi="Times New Roman"/>
          <w:sz w:val="20"/>
        </w:rPr>
        <w:t>34. Caruana R et al. Intelligible models for healthcare. KDD. 2015:1721-1730.</w:t>
      </w:r>
    </w:p>
    <w:p>
      <w:pPr>
        <w:spacing w:after="40"/>
      </w:pPr>
      <w:r>
        <w:rPr>
          <w:rFonts w:ascii="Times New Roman" w:hAnsi="Times New Roman"/>
          <w:sz w:val="20"/>
        </w:rPr>
        <w:t>35. Zeng J et al. Simple models vs deep learning. JCO CCI. 2022;6:e2100120.</w:t>
      </w:r>
    </w:p>
    <w:p>
      <w:pPr>
        <w:spacing w:after="40"/>
      </w:pPr>
      <w:r>
        <w:rPr>
          <w:rFonts w:ascii="Times New Roman" w:hAnsi="Times New Roman"/>
          <w:sz w:val="20"/>
        </w:rPr>
        <w:t>36. Knaus WA et al. APACHE II. Crit Care Med. 1985;13:818-829.</w:t>
      </w:r>
    </w:p>
    <w:p>
      <w:pPr>
        <w:spacing w:after="40"/>
      </w:pPr>
      <w:r>
        <w:rPr>
          <w:rFonts w:ascii="Times New Roman" w:hAnsi="Times New Roman"/>
          <w:sz w:val="20"/>
        </w:rPr>
        <w:t>37. Wells PS et al. Wells criteria for PE. Thromb Haemost. 2000;83:416-420.</w:t>
      </w:r>
    </w:p>
    <w:p>
      <w:pPr>
        <w:spacing w:after="40"/>
      </w:pPr>
      <w:r>
        <w:rPr>
          <w:rFonts w:ascii="Times New Roman" w:hAnsi="Times New Roman"/>
          <w:sz w:val="20"/>
        </w:rPr>
        <w:t>38. Lip GY et al. CHA2DS2-VASc. Chest. 2010;137:263-272.</w:t>
      </w:r>
    </w:p>
    <w:p>
      <w:pPr>
        <w:spacing w:after="40"/>
      </w:pPr>
      <w:r>
        <w:rPr>
          <w:rFonts w:ascii="Times New Roman" w:hAnsi="Times New Roman"/>
          <w:sz w:val="20"/>
        </w:rPr>
        <w:t>39. Troyanskaya O et al. KNN imputation. Bioinformatics. 2001;17:520-525.</w:t>
      </w:r>
    </w:p>
    <w:p>
      <w:pPr>
        <w:spacing w:after="40"/>
      </w:pPr>
      <w:r>
        <w:rPr>
          <w:rFonts w:ascii="Times New Roman" w:hAnsi="Times New Roman"/>
          <w:sz w:val="20"/>
        </w:rPr>
        <w:t>40. Bolstad BM et al. Quantile normalization. Bioinformatics. 2003;19:185-193.</w:t>
      </w:r>
    </w:p>
    <w:p>
      <w:pPr>
        <w:spacing w:after="40"/>
      </w:pPr>
      <w:r>
        <w:rPr>
          <w:rFonts w:ascii="Times New Roman" w:hAnsi="Times New Roman"/>
          <w:sz w:val="20"/>
        </w:rPr>
        <w:t>41. Hoerl AE, Kennard RW. Ridge regression. Technometrics. 1970;12:55-67.</w:t>
      </w:r>
    </w:p>
    <w:p>
      <w:pPr>
        <w:spacing w:after="40"/>
      </w:pPr>
      <w:r>
        <w:rPr>
          <w:rFonts w:ascii="Times New Roman" w:hAnsi="Times New Roman"/>
          <w:sz w:val="20"/>
        </w:rPr>
        <w:t>42. Chen T, Guestrin C. XGBoost. KDD. 2016:785-794.</w:t>
      </w:r>
    </w:p>
    <w:p>
      <w:pPr>
        <w:spacing w:after="40"/>
      </w:pPr>
      <w:r>
        <w:rPr>
          <w:rFonts w:ascii="Times New Roman" w:hAnsi="Times New Roman"/>
          <w:sz w:val="20"/>
        </w:rPr>
        <w:t>43. Prokhorenkova L et al. CatBoost. NeurIPS. 2018;31.</w:t>
      </w:r>
    </w:p>
    <w:p>
      <w:pPr>
        <w:spacing w:after="40"/>
      </w:pPr>
      <w:r>
        <w:rPr>
          <w:rFonts w:ascii="Times New Roman" w:hAnsi="Times New Roman"/>
          <w:sz w:val="20"/>
        </w:rPr>
        <w:t>44. Breiman L. Random forests. Mach Learn. 2001;45:5-32.</w:t>
      </w:r>
    </w:p>
    <w:p>
      <w:pPr>
        <w:spacing w:after="40"/>
      </w:pPr>
      <w:r>
        <w:rPr>
          <w:rFonts w:ascii="Times New Roman" w:hAnsi="Times New Roman"/>
          <w:sz w:val="20"/>
        </w:rPr>
        <w:t>45. Fraser CG, Harris EK. Biological variation. Crit Rev Clin Lab Sci. 1989;27:409-437.</w:t>
      </w:r>
    </w:p>
    <w:p>
      <w:pPr>
        <w:spacing w:after="40"/>
      </w:pPr>
      <w:r>
        <w:rPr>
          <w:rFonts w:ascii="Times New Roman" w:hAnsi="Times New Roman"/>
          <w:sz w:val="20"/>
        </w:rPr>
        <w:t>46. Ricos C et al. Biological variation databases. Scand J Clin Lab Invest. 1999;59:491-500.</w:t>
      </w:r>
    </w:p>
    <w:p>
      <w:pPr>
        <w:spacing w:after="40"/>
      </w:pPr>
      <w:r>
        <w:rPr>
          <w:rFonts w:ascii="Times New Roman" w:hAnsi="Times New Roman"/>
          <w:sz w:val="20"/>
        </w:rPr>
        <w:t>47. Efron B, Tibshirani RJ. An Introduction to the Bootstrap. CRC; 1994.</w:t>
      </w:r>
    </w:p>
    <w:p>
      <w:pPr>
        <w:spacing w:after="40"/>
      </w:pPr>
      <w:r>
        <w:rPr>
          <w:rFonts w:ascii="Times New Roman" w:hAnsi="Times New Roman"/>
          <w:sz w:val="20"/>
        </w:rPr>
        <w:t>48. World Medical Association. Declaration of Helsinki. JAMA. 2013;310:2191-2194.</w:t>
      </w:r>
    </w:p>
    <w:p>
      <w:pPr>
        <w:spacing w:after="40"/>
      </w:pPr>
      <w:r>
        <w:rPr>
          <w:rFonts w:ascii="Times New Roman" w:hAnsi="Times New Roman"/>
          <w:sz w:val="20"/>
        </w:rPr>
        <w:t>49. Kurman RJ et al. WHO Classification of Female Reproductive Tumours. IARC; 2014.</w:t>
      </w:r>
    </w:p>
    <w:p>
      <w:pPr>
        <w:spacing w:after="40"/>
      </w:pPr>
      <w:r>
        <w:rPr>
          <w:rFonts w:ascii="Times New Roman" w:hAnsi="Times New Roman"/>
          <w:sz w:val="20"/>
        </w:rPr>
        <w:t>50. Sterne JA et al. Multiple imputation. BMJ. 2009;338:b2393.</w:t>
      </w:r>
    </w:p>
    <w:p>
      <w:pPr>
        <w:spacing w:after="40"/>
      </w:pPr>
      <w:r>
        <w:rPr>
          <w:rFonts w:ascii="Times New Roman" w:hAnsi="Times New Roman"/>
          <w:sz w:val="20"/>
        </w:rPr>
        <w:t>51. Beretta L, Santaniello A. KNN imputation evaluation. BMC Med Inform Decis Mak. 2016;16(S3):74.</w:t>
      </w:r>
    </w:p>
    <w:p>
      <w:pPr>
        <w:spacing w:after="40"/>
      </w:pPr>
      <w:r>
        <w:rPr>
          <w:rFonts w:ascii="Times New Roman" w:hAnsi="Times New Roman"/>
          <w:sz w:val="20"/>
        </w:rPr>
        <w:t>52. Moons KG et al. TRIPOD explanation. Ann Intern Med. 2015;162:W1-73.</w:t>
      </w:r>
    </w:p>
    <w:p>
      <w:pPr>
        <w:spacing w:after="40"/>
      </w:pPr>
      <w:r>
        <w:rPr>
          <w:rFonts w:ascii="Times New Roman" w:hAnsi="Times New Roman"/>
          <w:sz w:val="20"/>
        </w:rPr>
        <w:t>53. Rubin DB. Multiple Imputation for Nonresponse. Wiley; 2004.</w:t>
      </w:r>
    </w:p>
    <w:p>
      <w:pPr>
        <w:spacing w:after="40"/>
      </w:pPr>
      <w:r>
        <w:rPr>
          <w:rFonts w:ascii="Times New Roman" w:hAnsi="Times New Roman"/>
          <w:sz w:val="20"/>
        </w:rPr>
        <w:t>54. Henderson KD et al. Menopause timing predictors. Am J Epidemiol. 2008;167:1287-1294.</w:t>
      </w:r>
    </w:p>
    <w:p>
      <w:pPr>
        <w:spacing w:after="40"/>
      </w:pPr>
      <w:r>
        <w:rPr>
          <w:rFonts w:ascii="Times New Roman" w:hAnsi="Times New Roman"/>
          <w:sz w:val="20"/>
        </w:rPr>
        <w:t>55. Cawley GC, Talbot NLC. Over-fitting in model selection. JMLR. 2010;11:2079-2107.</w:t>
      </w:r>
    </w:p>
    <w:p>
      <w:pPr>
        <w:spacing w:after="40"/>
      </w:pPr>
      <w:r>
        <w:rPr>
          <w:rFonts w:ascii="Times New Roman" w:hAnsi="Times New Roman"/>
          <w:sz w:val="20"/>
        </w:rPr>
        <w:t>56. Tibshirani R. Lasso regression. JRSSB. 1996;58:267-288.</w:t>
      </w:r>
    </w:p>
    <w:p>
      <w:pPr>
        <w:spacing w:after="40"/>
      </w:pPr>
      <w:r>
        <w:rPr>
          <w:rFonts w:ascii="Times New Roman" w:hAnsi="Times New Roman"/>
          <w:sz w:val="20"/>
        </w:rPr>
        <w:t>57. Moons KG et al. Risk prediction external validation. Heart. 2012;98:691-698.</w:t>
      </w:r>
    </w:p>
    <w:p>
      <w:pPr>
        <w:spacing w:after="40"/>
      </w:pPr>
      <w:r>
        <w:rPr>
          <w:rFonts w:ascii="Times New Roman" w:hAnsi="Times New Roman"/>
          <w:sz w:val="20"/>
        </w:rPr>
        <w:t>58. Pedregosa F et al. Scikit-learn. JMLR. 2011;12:2825-2830.</w:t>
      </w:r>
    </w:p>
    <w:p>
      <w:pPr>
        <w:spacing w:after="40"/>
      </w:pPr>
      <w:r>
        <w:rPr>
          <w:rFonts w:ascii="Times New Roman" w:hAnsi="Times New Roman"/>
          <w:sz w:val="20"/>
        </w:rPr>
        <w:t>59. Sturgeon CM et al. NACB tumor marker guidelines. Clin Chem. 2008;54:e11-79.</w:t>
      </w:r>
    </w:p>
    <w:p>
      <w:pPr>
        <w:spacing w:after="40"/>
      </w:pPr>
      <w:r>
        <w:rPr>
          <w:rFonts w:ascii="Times New Roman" w:hAnsi="Times New Roman"/>
          <w:sz w:val="20"/>
        </w:rPr>
        <w:t>60. Sendak MP et al. ML translation into healthcare. EMJ Innov. 2020;10:19-00172.</w:t>
      </w:r>
    </w:p>
    <w:p>
      <w:pPr>
        <w:spacing w:after="40"/>
      </w:pPr>
      <w:r>
        <w:rPr>
          <w:rFonts w:ascii="Times New Roman" w:hAnsi="Times New Roman"/>
          <w:sz w:val="20"/>
        </w:rPr>
        <w:t>61. Wiens J et al. Responsible ML for health care. Nat Med. 2019;25:1337-1340.</w:t>
      </w:r>
    </w:p>
    <w:p>
      <w:pPr>
        <w:spacing w:after="40"/>
      </w:pPr>
      <w:r>
        <w:rPr>
          <w:rFonts w:ascii="Times New Roman" w:hAnsi="Times New Roman"/>
          <w:sz w:val="20"/>
        </w:rPr>
        <w:t>62. Engelen MJ et al. Surgery by gynecologic oncologists improves survival. Cancer. 2006;106:589-598.</w:t>
      </w:r>
    </w:p>
    <w:p>
      <w:pPr>
        <w:spacing w:after="40"/>
      </w:pPr>
      <w:r>
        <w:rPr>
          <w:rFonts w:ascii="Times New Roman" w:hAnsi="Times New Roman"/>
          <w:sz w:val="20"/>
        </w:rPr>
        <w:t>63. Peduzzi P et al. Events per variable in logistic regression. J Clin Epidemiol. 1996;49:1373-1379.</w:t>
      </w:r>
    </w:p>
    <w:p>
      <w:pPr>
        <w:spacing w:after="40"/>
      </w:pPr>
      <w:r>
        <w:rPr>
          <w:rFonts w:ascii="Times New Roman" w:hAnsi="Times New Roman"/>
          <w:sz w:val="20"/>
        </w:rPr>
        <w:t>64. [Dataset 1] Chinese Ovarian Cancer Dataset. Mendeley Data. DOI: 10.17632/th7fztbrv9.11.</w:t>
      </w:r>
    </w:p>
    <w:p>
      <w:pPr>
        <w:spacing w:after="40"/>
      </w:pPr>
      <w:r>
        <w:rPr>
          <w:rFonts w:ascii="Times New Roman" w:hAnsi="Times New Roman"/>
          <w:sz w:val="20"/>
        </w:rPr>
        <w:t>65. [Dataset 2] Ovarian cancer vs. ovarian cyst patients. figshare. DOI: 10.6084/m9.figshare.28831256.</w:t>
      </w:r>
    </w:p>
    <w:p>
      <w:pPr>
        <w:spacing w:after="40"/>
      </w:pPr>
      <w:r>
        <w:rPr>
          <w:rFonts w:ascii="Times New Roman" w:hAnsi="Times New Roman"/>
          <w:sz w:val="20"/>
        </w:rPr>
        <w:t>66. [Dataset 3] Revised HE4 Cut-Off Value — Supplementary Material. Karger figshare. DOI: 10.6084/m9.figshare.24235450.</w:t>
      </w:r>
    </w:p>
    <w:p>
      <w:pPr>
        <w:pStyle w:val="Heading1"/>
        <w:jc w:val="left"/>
      </w:pPr>
      <w:r>
        <w:rPr>
          <w:rFonts w:ascii="Times New Roman" w:hAnsi="Times New Roman" w:eastAsia="Times New Roman"/>
          <w:sz w:val="28"/>
        </w:rPr>
        <w:t>Declarations</w:t>
      </w:r>
    </w:p>
    <w:p>
      <w:pPr>
        <w:pStyle w:val="Heading2"/>
        <w:jc w:val="left"/>
      </w:pPr>
      <w:r>
        <w:rPr>
          <w:rFonts w:ascii="Times New Roman" w:hAnsi="Times New Roman" w:eastAsia="Times New Roman"/>
          <w:sz w:val="26"/>
        </w:rPr>
        <w:t>Ethics approval</w:t>
      </w:r>
    </w:p>
    <w:p>
      <w:pPr>
        <w:spacing w:after="120"/>
      </w:pPr>
      <w:r>
        <w:rPr>
          <w:rFonts w:ascii="Times New Roman" w:hAnsi="Times New Roman" w:eastAsia="Times New Roman"/>
          <w:sz w:val="24"/>
        </w:rPr>
        <w:t>Secondary analysis of publicly available de-identified datasets. Exempt from additional IRB review.</w:t>
      </w:r>
    </w:p>
    <w:p>
      <w:pPr>
        <w:pStyle w:val="Heading2"/>
        <w:jc w:val="left"/>
      </w:pPr>
      <w:r>
        <w:rPr>
          <w:rFonts w:ascii="Times New Roman" w:hAnsi="Times New Roman" w:eastAsia="Times New Roman"/>
          <w:sz w:val="26"/>
        </w:rPr>
        <w:t>Data availability</w:t>
      </w:r>
    </w:p>
    <w:p>
      <w:pPr>
        <w:spacing w:after="120"/>
      </w:pPr>
      <w:r>
        <w:rPr>
          <w:rFonts w:ascii="Times New Roman" w:hAnsi="Times New Roman" w:eastAsia="Times New Roman"/>
          <w:sz w:val="24"/>
        </w:rPr>
        <w:t>All datasets publicly available at listed DOIs. Code: https://github.com/angelayaoo/Ovarian-Cancer-RiskSLIM.</w:t>
      </w:r>
    </w:p>
    <w:p>
      <w:pPr>
        <w:pStyle w:val="Heading2"/>
        <w:jc w:val="left"/>
      </w:pPr>
      <w:r>
        <w:rPr>
          <w:rFonts w:ascii="Times New Roman" w:hAnsi="Times New Roman" w:eastAsia="Times New Roman"/>
          <w:sz w:val="26"/>
        </w:rPr>
        <w:t>Competing interests</w:t>
      </w:r>
    </w:p>
    <w:p>
      <w:pPr>
        <w:spacing w:after="120"/>
      </w:pPr>
      <w:r>
        <w:rPr>
          <w:rFonts w:ascii="Times New Roman" w:hAnsi="Times New Roman" w:eastAsia="Times New Roman"/>
          <w:sz w:val="24"/>
        </w:rPr>
        <w:t>None declared.</w:t>
      </w:r>
    </w:p>
    <w:p>
      <w:pPr>
        <w:pStyle w:val="Heading2"/>
        <w:jc w:val="left"/>
      </w:pPr>
      <w:r>
        <w:rPr>
          <w:rFonts w:ascii="Times New Roman" w:hAnsi="Times New Roman" w:eastAsia="Times New Roman"/>
          <w:sz w:val="26"/>
        </w:rPr>
        <w:t>Funding</w:t>
      </w:r>
    </w:p>
    <w:p>
      <w:pPr>
        <w:spacing w:after="120"/>
      </w:pPr>
      <w:r>
        <w:rPr>
          <w:rFonts w:ascii="Times New Roman" w:hAnsi="Times New Roman" w:eastAsia="Times New Roman"/>
          <w:sz w:val="24"/>
        </w:rPr>
        <w:t>[To be completed]</w:t>
      </w:r>
    </w:p>
    <w:p>
      <w:pPr>
        <w:pStyle w:val="Heading2"/>
        <w:jc w:val="left"/>
      </w:pPr>
      <w:r>
        <w:rPr>
          <w:rFonts w:ascii="Times New Roman" w:hAnsi="Times New Roman" w:eastAsia="Times New Roman"/>
          <w:sz w:val="26"/>
        </w:rPr>
        <w:t>Authors' contributions</w:t>
      </w:r>
    </w:p>
    <w:p>
      <w:pPr>
        <w:spacing w:after="120"/>
      </w:pPr>
      <w:r>
        <w:rPr>
          <w:rFonts w:ascii="Times New Roman" w:hAnsi="Times New Roman" w:eastAsia="Times New Roman"/>
          <w:sz w:val="24"/>
        </w:rPr>
        <w:t>[To be completed]</w:t>
      </w:r>
    </w:p>
    <w:p>
      <w:pPr>
        <w:pStyle w:val="Heading2"/>
        <w:jc w:val="left"/>
      </w:pPr>
      <w:r>
        <w:rPr>
          <w:rFonts w:ascii="Times New Roman" w:hAnsi="Times New Roman" w:eastAsia="Times New Roman"/>
          <w:sz w:val="26"/>
        </w:rPr>
        <w:t>Acknowledgements</w:t>
      </w:r>
    </w:p>
    <w:p>
      <w:pPr>
        <w:spacing w:after="120"/>
      </w:pPr>
      <w:r>
        <w:rPr>
          <w:rFonts w:ascii="Times New Roman" w:hAnsi="Times New Roman" w:eastAsia="Times New Roman"/>
          <w:sz w:val="24"/>
        </w:rPr>
        <w:t>We thank the original investigators who publicly shared the three datasets used in this study.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