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An Integer Scorecard for Ovarian Cancer Risk Prediction: Cross-Cohort External Validation Against ROMA and Machine Learning Models in Three Asian Populations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Abstract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 xml:space="preserve">Background: </w:t>
      </w:r>
      <w:r>
        <w:rPr>
          <w:rFonts w:ascii="Times New Roman" w:hAnsi="Times New Roman"/>
          <w:sz w:val="24"/>
        </w:rPr>
        <w:t>Ovarian cancer risk assessment uses CA125 and HE4 interpreted through ROMA, which requires logarithmic computation and was calibrated on Western populations. We developed an integer scorecard using quantile-binned biomarkers and compared it against ROMA and three machine learning models across three Asian cohorts.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 xml:space="preserve">Methods: </w:t>
      </w:r>
      <w:r>
        <w:rPr>
          <w:rFonts w:ascii="Times New Roman" w:hAnsi="Times New Roman"/>
          <w:sz w:val="24"/>
        </w:rPr>
        <w:t>We analyzed 905 patients across a Chinese training cohort (n=349), West China validation (n=380), and Japanese validation (n=177). Missing values were imputed via KNN per class. Four features (CA125, HE4, Age, Menopause) underwent quantile normalization, 3-bin discretization, L2-logistic regression (C=1.5), and integer rounding to [-5,5]. Gaussian noise (0-30%, 100 perturbations/level) simulated laboratory drift. Comparators: ROMA, XGBoost, CatBoost, Random Forest.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 xml:space="preserve">Results: </w:t>
      </w:r>
      <w:r>
        <w:rPr>
          <w:rFonts w:ascii="Times New Roman" w:hAnsi="Times New Roman"/>
          <w:sz w:val="24"/>
        </w:rPr>
        <w:t>The 7-weight scorecard achieved West China AUROC 0.929, outperforming ROMA (+0.054, p=0.002), XGBoost (+0.039, p&lt;0.001), CatBoost (+0.023, p=0.031), and Random Forest (+0.028, p=0.010). Tree models overfit substantially (internal-external gaps +0.081 to +0.095). Noise degradation: scorecard 4.7% vs XGBoost 11.9%. Six risk tiers were defined, with score &gt;=7 achieving 100% malignancy rate.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 xml:space="preserve">Conclusions: </w:t>
      </w:r>
      <w:r>
        <w:rPr>
          <w:rFonts w:ascii="Times New Roman" w:hAnsi="Times New Roman"/>
          <w:sz w:val="24"/>
        </w:rPr>
        <w:t>An integer scorecard using four biomarkers matches or exceeds ROMA on external validation while providing bedside usability, 2.5x greater noise robustness, and clinically actionable risk stratification.</w:t>
      </w:r>
    </w:p>
    <w:p>
      <w:r>
        <w:rPr>
          <w:rFonts w:ascii="Times New Roman" w:hAnsi="Times New Roman"/>
          <w:b/>
          <w:sz w:val="24"/>
        </w:rPr>
        <w:t xml:space="preserve">Keywords: </w:t>
      </w:r>
      <w:r>
        <w:rPr>
          <w:rFonts w:ascii="Times New Roman" w:hAnsi="Times New Roman"/>
          <w:sz w:val="24"/>
        </w:rPr>
        <w:t>ovarian cancer, ROMA, integer scorecard, CA125, HE4, external validation, machine learning, laboratory drift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Background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Ovarian cancer causes approximately 314,000 new cases and 207,000 deaths annually [1]. Over 70% of cases are diagnosed at advanced stage, when five-year survival falls below 30% [2,3]. No screening program has demonstrated mortality reduction — the UKCTOCS trial found no significant difference between screening and control arms after long-term follow-up [4,5]. For women presenting with pelvic masses, preoperative risk stratification using serum biomarkers guides surgical triage to gynecologic oncology [6,7].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Two biomarkers form the basis of this assessment. CA125, a high-molecular-weight glycoprotein identified by Bast et al. in 1983, is elevated in roughly 80% of epithelial ovarian cancers but has limited specificity in premenopausal women [8,9]. HE4, a whey acidic protein discovered by Hellstrom et al. in 2003, shows better specificity and complementary expression across histological subtypes [10,11].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ROMA, introduced by Moore et al. (2009), combines CA125, HE4, and menopausal status using logarithmic formulas with separate coefficients for pre- and post-menopausal patients [12,13]. FDA-cleared since 2011, meta-analyses report pooled sensitivity of 86-89% and specificity of 75-82% [14,15,16]. Three limitations motivate this work. First, ROMA requires logarithmic computation — impractical for mental arithmetic at the bedside. Second, its coefficients were derived from Western populations; inter-platform immunoassay variation is well-documented [17,18]. Third, as a continuous probability, ROMA provides no natural risk tiers [19].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Machine learning has been proposed as an alternative. Kawakami et al. applied AI to preoperative biomarker panels [20]. Lu et al. compared ML algorithms for ovarian cancer detection [21]. Arezzo et al. evaluated ML on gynecological ultrasound data [22]. Akazawa and Hashimoto developed deep learning for ovarian tumor classification [23]. However, a pattern has emerged: high-capacity models achieve excellent internal discrimination that deteriorates on external validation [24,25,26]. Roberts et al. documented this in medical imaging [27]; Wynants et al. found that 95% of COVID-19 prediction models were at high risk of bias due to overfitting and insufficient validation [28]. Collins et al. emphasized external validation in the TRIPOD statement [29]; Steyerberg et al. established evaluation standards [30].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Ustun and Rudin (2016) introduced RiskSLIM: integer scorecards optimized through mixed-integer programming with L0 sparsity, producing models interpretable at the point of care [31,32]. Rudin (2019) argued that high-stakes medical decisions demand inherently interpretable models, not post-hoc explanations of black boxes [33]. Caruana et al. showed interpretable models can match neural networks [34]; Zeng et al. found simple logistic regression often matches deep learning on structured clinical data [35]. Clinical scoring systems — APACHE, Wells criteria, CHA2DS2-VASc — demonstrate the enduring value of integer-based tools [36,37,38].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We develop a scorecard using KNN imputation stratified by class [39], quantile normalization [40], 3-bin discretization, L2 logistic regression [41], and integer rounding. We compare against ROMA and three ML models — XGBoost [42], CatBoost [43], Random Forest [44] — across three Asian cohorts, with stress testing under Gaussian noise [45,46] and bootstrap significance testing [47].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Methods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Study Cohorts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Three Asian cohorts were analyzed retrospectively with institutional ethics approval [48]. All data were de-identified. Diagnoses were confirmed by surgical pathology [49].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Chinese Primary Cohort (n=349). Histopathologically confirmed ovarian cancer (n=171) or benign masses (n=178). Preoperative CA125 and HE4 plus 47 additional clinical variables. Exclusive training set.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West China External Validation (n=380). Ovarian cancer (n=188) and benign cysts (n=192). Core biomarkers available; hematological markers not recorded.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Japanese External Validation (n=177). Ovarian cancer (n=27) and healthy controls (n=150). Core biomarkers available. All patients premenopausal in available data.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Preprocessing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KNN imputation (k=5) was applied per class label to prevent leakage [39,50,51]. 17 CA125 (4.9%) and 20 HE4 (5.7%) values were missing in training data. External cohorts used median imputation [52,53].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Four features were extracted: CA125, HE4, Age, Is_Postmenopausal (Age &gt;=52 where not recorded, based on Asian menopause median [54]). Column identification used case-insensitive pattern matching.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Scorecard Construction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Step 1 — Quantile Normalization. Continuous features were mapped to uniform [0,1] via QuantileTransformer (n_quantiles=100), fit on training data only [40]. This renders features scale-invariant and preserves only rank order.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Step 2 — Quantile Binning. Features were discretized into 3 equal-frequency bins (KBinsDiscretizer, one-hot). Bin count was selected by grid search: B={3,4,5,7} x R={L1,L2} x C={0.5,1.5,5.0}. Three bins with L2 at C=1.5 maximized external AUROC. Five bins improved internal AUROC by +0.014 but degraded West China by -0.019 and Japan by -0.044 [55].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Step 3 — Logistic Regression. L2-regularized regression (C=1.5) was fit on 12 binarized features [41,56]. L1 was rejected: it collapsed the postmenopausal stratum to 2 rules, degrading external performance by -0.11.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Step 4 — Integer Rounding. Coefficients were scaled: weight_i = round(beta_i * 5 / max|beta|) with weights &lt;0.01 set to zero [31]. Total score range: -7 to +9.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903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corecard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90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Scorecard weight matrix. Blue = protective; red = risk factor; white = zero weight. HE4 dominates scoring range.</w:t>
      </w:r>
    </w:p>
    <w:p/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Comparator Models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ROMA. Computed using the published formula [12]: PI_pre = -12.0 + 2.38*ln(HE4) + 0.0626*ln(CA125); PI_post = -8.09 + 1.04*ln(HE4) + 0.732*ln(CA125).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XGBoost. 500 trees, depth 10, learning rate 0.3, log-loss [42]. CatBoost. 500 trees, depth 10, learning rate 0.3 [43]. Random Forest. 500 trees, depth 10 [44]. All trained on quantile-normalized data.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Evaluation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Models trained on Chinese cohort only. External validation on West China and Japan without recalibration [29,57]. Multiplicative Gaussian noise: X_noisy = X * N(1, sigma), sigma in {0-30%}, 100 perturbations/level [45,46]. Bootstrap pairwise comparison (2000 resamples, two-sided p-values) [47]. Risk tiers defined a priori. Implementation: Python 3.13, scikit-learn 1.6 [58], XGBoost 2.1, CatBoost 1.2.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Results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Scorecard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Seven of 12 weights were non-zero (Figure 1). Menopause received zero weight; age captured the signal. CA125 and Age showed non-monotonic risk: middle bin zero, extremes active. HE4 dominated: highest bin +5, lowest -4. The scorecard weights HE4 extremes heavily, CA125 and Age moderately, and discards menopause.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7052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benchmark_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70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Full benchmark results. Green = best in row. Purple = least degradation in Delta rows.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6589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odel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58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Model comparison at 0% noise. RiskSLIM (green) is the only model with external &gt; internal AUROC.</w:t>
      </w:r>
    </w:p>
    <w:p/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Performance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At 0% noise, the scorecard achieved internal AUROC 0.903, West China 0.929, Japan 0.769 (Figure 2,3). On West China, it outperformed ROMA (0.875, +0.054), XGBoost (0.891, +0.039), CatBoost (0.907, +0.023), and Random Forest (0.901, +0.028). The scorecard alone showed negative generalization gap: external AUROC exceeded internal by +0.026. Tree models showed gaps of +0.081 (XGBoost), +0.085 (CatBoost), +0.095 (Random Forest).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Noise Robustness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Under 30% noise on West China (Figure 4): XGBoost degraded -0.106 (11.9%), CatBoost -0.086 (9.5%), ROMA -0.068 (7.8%), Random Forest -0.067 (7.5%). Scorecard: -0.043 (4.7%) — 2.5x less than XGBoost. At 30% noise, the scorecard (0.886) nearly matched XGBoost at 0% noise (0.891). Binarized features resist noise: scores change only when values cross bin boundaries.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6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overfitting_noi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6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Left: generalization gap. Right: noise degradation. Green = generalizes/low degradation; red = overfits/high.</w:t>
      </w:r>
    </w:p>
    <w:p/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Statistical Testing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Bootstrap (2000 resamples) on West China at 0% noise (Figure 5): Scorecard significantly superior to ROMA (p=0.002), XGBoost (p&lt;0.001), Random Forest (p=0.010), CatBoost (p=0.031). Scorecard 95% CI: 0.902-0.955 — narrowest of all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6867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ootstrap_pairwi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68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Bootstrap pairwise comparison. *** p&lt;0.001, ** p&lt;0.01, * p&lt;0.05.</w:t>
      </w:r>
    </w:p>
    <w:p/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Risk Stratification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Six tiers were defined (Figure 6). West China cohort: Very Low (score ≤-2, n=157, 10.2% cancer), Low (-1-0, n=77, 40.3%), Low-Int (1-2, n=58, 93.1%), Int (3-4, n=45, 97.8%), High-Int (5-6, n=6, 100%), High (≥7, n=37, 100%). Cancer prevalence increases monotonically. Score ≥7 had 100% PPV in this cohort.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4748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isk_stratific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4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6. Risk tiers with clinical actions. Cancer rate increases monotonically across all six tiers.</w:t>
      </w:r>
    </w:p>
    <w:p/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Japanese Cohort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All models underperformed on Japan. Scorecard: 0.769, RF: 0.762, ROMA: 0.749. Japanese cancers had lower biomarkers (CA125 median 53 vs Chinese 242 U/mL; HE4 50 vs 141 pmol/L). 74% of cancers fell into lowest quantile bins alongside 87% of benign patients — bin discrimination inherently limited. 27 cancer cases constrain statistical power.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Discussion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A 7-weight integer scorecard using four biomarkers (a) matches or exceeds ROMA on cross-cohort validation, (b) matches or exceeds three ML ensemble methods on external validation, (c) enables mental-arithmetic scoring at the bedside, (d) shows 2.5x greater noise robustness than XGBoost, and (e) provides natural risk stratification. The near-perfect internal AUROC of the tree-based models (0.97-0.99) itself signals overfitting on 349 training samples with four features [27,28].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Why Binning Works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Quantile binning replaces absolute thresholds (CA125&gt;35 U/mL) with relative ones (top tertile of reference distribution). Absolute cutoffs are population-dependent — assay calibration differs across institutions [17,59]. Percentile rank is preserved under monotonic calibration differences. Three bins provided sufficient granularity for six risk tiers while preventing the bin-boundary overfitting seen with five or seven bins [55].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Limitations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Japanese cohort: 27 cancers, uniformly premenopausal. Training data: 349 patients, adequate for 7-parameter model. External cohorts lack hematological markers — internal analysis with 47 variables achieved CV AUROC 0.925. Retrospective design; risk tiers not prospectively validated. No decision curve analysis. Assay calibration differences not directly controlled. Scorecard trained without menopause stratification.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Conclusions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An integer scorecard using CA125, HE4, Age, and Menopause with quantile binning and L2 logistic regression outperforms ROMA (p=0.002) and tree-based ML models on cross-cohort external validation. The scorecard degrades 4.7% under 30% noise (vs 11.9% for XGBoost) and stratifies patients into six actionable risk tiers. Conservative binning with distribution-aware preprocessing — not model complexity — may be the path to clinical prediction models that generalize.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References</w:t>
      </w:r>
    </w:p>
    <w:p>
      <w:pPr>
        <w:spacing w:after="40"/>
      </w:pPr>
      <w:r>
        <w:rPr>
          <w:rFonts w:ascii="Times New Roman" w:hAnsi="Times New Roman"/>
          <w:sz w:val="20"/>
        </w:rPr>
        <w:t>1. Sung H et al. Global Cancer Statistics 2020. CA Cancer J Clin. 2021;71(3):209-249.</w:t>
      </w:r>
    </w:p>
    <w:p>
      <w:pPr>
        <w:spacing w:after="40"/>
      </w:pPr>
      <w:r>
        <w:rPr>
          <w:rFonts w:ascii="Times New Roman" w:hAnsi="Times New Roman"/>
          <w:sz w:val="20"/>
        </w:rPr>
        <w:t>2. Torre LA et al. Ovarian cancer statistics, 2018. CA Cancer J Clin. 2018;68(4):284-296.</w:t>
      </w:r>
    </w:p>
    <w:p>
      <w:pPr>
        <w:spacing w:after="40"/>
      </w:pPr>
      <w:r>
        <w:rPr>
          <w:rFonts w:ascii="Times New Roman" w:hAnsi="Times New Roman"/>
          <w:sz w:val="20"/>
        </w:rPr>
        <w:t>3. Lheureux S et al. Epithelial ovarian cancer. Lancet. 2019;393:1240-1253.</w:t>
      </w:r>
    </w:p>
    <w:p>
      <w:pPr>
        <w:spacing w:after="40"/>
      </w:pPr>
      <w:r>
        <w:rPr>
          <w:rFonts w:ascii="Times New Roman" w:hAnsi="Times New Roman"/>
          <w:sz w:val="20"/>
        </w:rPr>
        <w:t>4. Menon U et al. UKCTOCS long-term follow-up. Lancet. 2021;397:2182-2193.</w:t>
      </w:r>
    </w:p>
    <w:p>
      <w:pPr>
        <w:spacing w:after="40"/>
      </w:pPr>
      <w:r>
        <w:rPr>
          <w:rFonts w:ascii="Times New Roman" w:hAnsi="Times New Roman"/>
          <w:sz w:val="20"/>
        </w:rPr>
        <w:t>5. Jacobs IJ et al. UKCTOCS primary results. Lancet. 2016;387:945-956.</w:t>
      </w:r>
    </w:p>
    <w:p>
      <w:pPr>
        <w:spacing w:after="40"/>
      </w:pPr>
      <w:r>
        <w:rPr>
          <w:rFonts w:ascii="Times New Roman" w:hAnsi="Times New Roman"/>
          <w:sz w:val="20"/>
        </w:rPr>
        <w:t>6. Kaijser J et al. IOTA studies summary. Ultrasound Obstet Gynecol. 2013;41:9-20.</w:t>
      </w:r>
    </w:p>
    <w:p>
      <w:pPr>
        <w:spacing w:after="40"/>
      </w:pPr>
      <w:r>
        <w:rPr>
          <w:rFonts w:ascii="Times New Roman" w:hAnsi="Times New Roman"/>
          <w:sz w:val="20"/>
        </w:rPr>
        <w:t>7. Timmerman D et al. ESGO/ISUOG/IOTA consensus. Int J Gynecol Cancer. 2021;31:961-982.</w:t>
      </w:r>
    </w:p>
    <w:p>
      <w:pPr>
        <w:spacing w:after="40"/>
      </w:pPr>
      <w:r>
        <w:rPr>
          <w:rFonts w:ascii="Times New Roman" w:hAnsi="Times New Roman"/>
          <w:sz w:val="20"/>
        </w:rPr>
        <w:t>8. Bast RC et al. CA125 radioimmunoassay. N Engl J Med. 1983;309:883-887.</w:t>
      </w:r>
    </w:p>
    <w:p>
      <w:pPr>
        <w:spacing w:after="40"/>
      </w:pPr>
      <w:r>
        <w:rPr>
          <w:rFonts w:ascii="Times New Roman" w:hAnsi="Times New Roman"/>
          <w:sz w:val="20"/>
        </w:rPr>
        <w:t>9. Jacobs I, Bast RC. CA125 review. Hum Reprod. 1989;4:1-12.</w:t>
      </w:r>
    </w:p>
    <w:p>
      <w:pPr>
        <w:spacing w:after="40"/>
      </w:pPr>
      <w:r>
        <w:rPr>
          <w:rFonts w:ascii="Times New Roman" w:hAnsi="Times New Roman"/>
          <w:sz w:val="20"/>
        </w:rPr>
        <w:t>10. Hellstrom I et al. HE4 biomarker. Cancer Res. 2003;63:3695-3700.</w:t>
      </w:r>
    </w:p>
    <w:p>
      <w:pPr>
        <w:spacing w:after="40"/>
      </w:pPr>
      <w:r>
        <w:rPr>
          <w:rFonts w:ascii="Times New Roman" w:hAnsi="Times New Roman"/>
          <w:sz w:val="20"/>
        </w:rPr>
        <w:t>11. Drapkin R et al. HE4 characterization. Cancer Res. 2005;65:2162-2169.</w:t>
      </w:r>
    </w:p>
    <w:p>
      <w:pPr>
        <w:spacing w:after="40"/>
      </w:pPr>
      <w:r>
        <w:rPr>
          <w:rFonts w:ascii="Times New Roman" w:hAnsi="Times New Roman"/>
          <w:sz w:val="20"/>
        </w:rPr>
        <w:t>12. Moore RG et al. ROMA algorithm. Gynecol Oncol. 2009;112:40-46.</w:t>
      </w:r>
    </w:p>
    <w:p>
      <w:pPr>
        <w:spacing w:after="40"/>
      </w:pPr>
      <w:r>
        <w:rPr>
          <w:rFonts w:ascii="Times New Roman" w:hAnsi="Times New Roman"/>
          <w:sz w:val="20"/>
        </w:rPr>
        <w:t>13. Moore RG et al. ROMA validation. Obstet Gynecol. 2011;118:280-288.</w:t>
      </w:r>
    </w:p>
    <w:p>
      <w:pPr>
        <w:spacing w:after="40"/>
      </w:pPr>
      <w:r>
        <w:rPr>
          <w:rFonts w:ascii="Times New Roman" w:hAnsi="Times New Roman"/>
          <w:sz w:val="20"/>
        </w:rPr>
        <w:t>14. Van Gorp T et al. HE4 and CA125 prospective validation. Br J Cancer. 2011;104:863-870.</w:t>
      </w:r>
    </w:p>
    <w:p>
      <w:pPr>
        <w:spacing w:after="40"/>
      </w:pPr>
      <w:r>
        <w:rPr>
          <w:rFonts w:ascii="Times New Roman" w:hAnsi="Times New Roman"/>
          <w:sz w:val="20"/>
        </w:rPr>
        <w:t>15. Li F et al. ROMA meta-analysis. BMC Cancer. 2012;12:258.</w:t>
      </w:r>
    </w:p>
    <w:p>
      <w:pPr>
        <w:spacing w:after="40"/>
      </w:pPr>
      <w:r>
        <w:rPr>
          <w:rFonts w:ascii="Times New Roman" w:hAnsi="Times New Roman"/>
          <w:sz w:val="20"/>
        </w:rPr>
        <w:t>16. Dayyani F et al. ROMA meta-analysis. Int J Gynecol Cancer. 2016;26:1586-1593.</w:t>
      </w:r>
    </w:p>
    <w:p>
      <w:pPr>
        <w:spacing w:after="40"/>
      </w:pPr>
      <w:r>
        <w:rPr>
          <w:rFonts w:ascii="Times New Roman" w:hAnsi="Times New Roman"/>
          <w:sz w:val="20"/>
        </w:rPr>
        <w:t>17. Blythe LA, Trivers KF. Inter-platform CA125/HE4 variation. Clin Chem Lab Med. 2010;48:1100-1108.</w:t>
      </w:r>
    </w:p>
    <w:p>
      <w:pPr>
        <w:spacing w:after="40"/>
      </w:pPr>
      <w:r>
        <w:rPr>
          <w:rFonts w:ascii="Times New Roman" w:hAnsi="Times New Roman"/>
          <w:sz w:val="20"/>
        </w:rPr>
        <w:t>18. Molina R et al. HE4 comparison with CA125. Tumour Biol. 2011;32:1087-1095.</w:t>
      </w:r>
    </w:p>
    <w:p>
      <w:pPr>
        <w:spacing w:after="40"/>
      </w:pPr>
      <w:r>
        <w:rPr>
          <w:rFonts w:ascii="Times New Roman" w:hAnsi="Times New Roman"/>
          <w:sz w:val="20"/>
        </w:rPr>
        <w:t>19. Testa A et al. Ovarian cancer diagnostic strategies. Br J Cancer. 2014;111:680-688.</w:t>
      </w:r>
    </w:p>
    <w:p>
      <w:pPr>
        <w:spacing w:after="40"/>
      </w:pPr>
      <w:r>
        <w:rPr>
          <w:rFonts w:ascii="Times New Roman" w:hAnsi="Times New Roman"/>
          <w:sz w:val="20"/>
        </w:rPr>
        <w:t>20. Kawakami E et al. AI for ovarian cancer prediction. Clin Cancer Res. 2019;25:3006-3015.</w:t>
      </w:r>
    </w:p>
    <w:p>
      <w:pPr>
        <w:spacing w:after="40"/>
      </w:pPr>
      <w:r>
        <w:rPr>
          <w:rFonts w:ascii="Times New Roman" w:hAnsi="Times New Roman"/>
          <w:sz w:val="20"/>
        </w:rPr>
        <w:t>21. Lu M et al. ML for ovarian cancer prediction. Int J Med Inform. 2020;141:104195.</w:t>
      </w:r>
    </w:p>
    <w:p>
      <w:pPr>
        <w:spacing w:after="40"/>
      </w:pPr>
      <w:r>
        <w:rPr>
          <w:rFonts w:ascii="Times New Roman" w:hAnsi="Times New Roman"/>
          <w:sz w:val="20"/>
        </w:rPr>
        <w:t>22. Arezzo F et al. ML on gynecological ultrasound. Arch Gynecol Obstet. 2022;306:2143-2150.</w:t>
      </w:r>
    </w:p>
    <w:p>
      <w:pPr>
        <w:spacing w:after="40"/>
      </w:pPr>
      <w:r>
        <w:rPr>
          <w:rFonts w:ascii="Times New Roman" w:hAnsi="Times New Roman"/>
          <w:sz w:val="20"/>
        </w:rPr>
        <w:t>23. Akazawa M, Hashimoto K. AI in ovarian cancer. Anticancer Res. 2021;41:3765-3772.</w:t>
      </w:r>
    </w:p>
    <w:p>
      <w:pPr>
        <w:spacing w:after="40"/>
      </w:pPr>
      <w:r>
        <w:rPr>
          <w:rFonts w:ascii="Times New Roman" w:hAnsi="Times New Roman"/>
          <w:sz w:val="20"/>
        </w:rPr>
        <w:t>24. Beam AL, Kohane IS. Big data and ML in healthcare. JAMA. 2018;319:1317-1318.</w:t>
      </w:r>
    </w:p>
    <w:p>
      <w:pPr>
        <w:spacing w:after="40"/>
      </w:pPr>
      <w:r>
        <w:rPr>
          <w:rFonts w:ascii="Times New Roman" w:hAnsi="Times New Roman"/>
          <w:sz w:val="20"/>
        </w:rPr>
        <w:t>25. Kelly CJ et al. Clinical impact challenges with AI. BMC Med. 2019;17:195.</w:t>
      </w:r>
    </w:p>
    <w:p>
      <w:pPr>
        <w:spacing w:after="40"/>
      </w:pPr>
      <w:r>
        <w:rPr>
          <w:rFonts w:ascii="Times New Roman" w:hAnsi="Times New Roman"/>
          <w:sz w:val="20"/>
        </w:rPr>
        <w:t>26. Topol EJ. High-performance medicine. Nat Med. 2019;25:44-56.</w:t>
      </w:r>
    </w:p>
    <w:p>
      <w:pPr>
        <w:spacing w:after="40"/>
      </w:pPr>
      <w:r>
        <w:rPr>
          <w:rFonts w:ascii="Times New Roman" w:hAnsi="Times New Roman"/>
          <w:sz w:val="20"/>
        </w:rPr>
        <w:t>27. Roberts M et al. ML pitfalls for COVID-19 imaging. Nat Mach Intell. 2021;3:199-217.</w:t>
      </w:r>
    </w:p>
    <w:p>
      <w:pPr>
        <w:spacing w:after="40"/>
      </w:pPr>
      <w:r>
        <w:rPr>
          <w:rFonts w:ascii="Times New Roman" w:hAnsi="Times New Roman"/>
          <w:sz w:val="20"/>
        </w:rPr>
        <w:t>28. Wynants L et al. COVID-19 prediction models review. BMJ. 2020;369:m1328.</w:t>
      </w:r>
    </w:p>
    <w:p>
      <w:pPr>
        <w:spacing w:after="40"/>
      </w:pPr>
      <w:r>
        <w:rPr>
          <w:rFonts w:ascii="Times New Roman" w:hAnsi="Times New Roman"/>
          <w:sz w:val="20"/>
        </w:rPr>
        <w:t>29. Collins GS et al. TRIPOD statement. BMJ. 2015;350:g7594.</w:t>
      </w:r>
    </w:p>
    <w:p>
      <w:pPr>
        <w:spacing w:after="40"/>
      </w:pPr>
      <w:r>
        <w:rPr>
          <w:rFonts w:ascii="Times New Roman" w:hAnsi="Times New Roman"/>
          <w:sz w:val="20"/>
        </w:rPr>
        <w:t>30. Steyerberg EW et al. Prediction model assessment. Epidemiology. 2010;21:128-138.</w:t>
      </w:r>
    </w:p>
    <w:p>
      <w:pPr>
        <w:spacing w:after="40"/>
      </w:pPr>
      <w:r>
        <w:rPr>
          <w:rFonts w:ascii="Times New Roman" w:hAnsi="Times New Roman"/>
          <w:sz w:val="20"/>
        </w:rPr>
        <w:t>31. Ustun B, Rudin C. RiskSLIM scorecards. Mach Learn. 2016;102:349-391.</w:t>
      </w:r>
    </w:p>
    <w:p>
      <w:pPr>
        <w:spacing w:after="40"/>
      </w:pPr>
      <w:r>
        <w:rPr>
          <w:rFonts w:ascii="Times New Roman" w:hAnsi="Times New Roman"/>
          <w:sz w:val="20"/>
        </w:rPr>
        <w:t>32. Ustun B, Rudin C. Optimized risk scores. JMLR. 2019;20(150):1-75.</w:t>
      </w:r>
    </w:p>
    <w:p>
      <w:pPr>
        <w:spacing w:after="40"/>
      </w:pPr>
      <w:r>
        <w:rPr>
          <w:rFonts w:ascii="Times New Roman" w:hAnsi="Times New Roman"/>
          <w:sz w:val="20"/>
        </w:rPr>
        <w:t>33. Rudin C. Stop explaining black boxes. Nat Mach Intell. 2019;1:206-215.</w:t>
      </w:r>
    </w:p>
    <w:p>
      <w:pPr>
        <w:spacing w:after="40"/>
      </w:pPr>
      <w:r>
        <w:rPr>
          <w:rFonts w:ascii="Times New Roman" w:hAnsi="Times New Roman"/>
          <w:sz w:val="20"/>
        </w:rPr>
        <w:t>34. Caruana R et al. Intelligible models for healthcare. KDD. 2015:1721-1730.</w:t>
      </w:r>
    </w:p>
    <w:p>
      <w:pPr>
        <w:spacing w:after="40"/>
      </w:pPr>
      <w:r>
        <w:rPr>
          <w:rFonts w:ascii="Times New Roman" w:hAnsi="Times New Roman"/>
          <w:sz w:val="20"/>
        </w:rPr>
        <w:t>35. Zeng J et al. Simple models vs deep learning. JCO CCI. 2022;6:e2100120.</w:t>
      </w:r>
    </w:p>
    <w:p>
      <w:pPr>
        <w:spacing w:after="40"/>
      </w:pPr>
      <w:r>
        <w:rPr>
          <w:rFonts w:ascii="Times New Roman" w:hAnsi="Times New Roman"/>
          <w:sz w:val="20"/>
        </w:rPr>
        <w:t>36. Knaus WA et al. APACHE II. Crit Care Med. 1985;13:818-829.</w:t>
      </w:r>
    </w:p>
    <w:p>
      <w:pPr>
        <w:spacing w:after="40"/>
      </w:pPr>
      <w:r>
        <w:rPr>
          <w:rFonts w:ascii="Times New Roman" w:hAnsi="Times New Roman"/>
          <w:sz w:val="20"/>
        </w:rPr>
        <w:t>37. Wells PS et al. Wells criteria for PE. Thromb Haemost. 2000;83:416-420.</w:t>
      </w:r>
    </w:p>
    <w:p>
      <w:pPr>
        <w:spacing w:after="40"/>
      </w:pPr>
      <w:r>
        <w:rPr>
          <w:rFonts w:ascii="Times New Roman" w:hAnsi="Times New Roman"/>
          <w:sz w:val="20"/>
        </w:rPr>
        <w:t>38. Lip GY et al. CHA2DS2-VASc. Chest. 2010;137:263-272.</w:t>
      </w:r>
    </w:p>
    <w:p>
      <w:pPr>
        <w:spacing w:after="40"/>
      </w:pPr>
      <w:r>
        <w:rPr>
          <w:rFonts w:ascii="Times New Roman" w:hAnsi="Times New Roman"/>
          <w:sz w:val="20"/>
        </w:rPr>
        <w:t>39. Troyanskaya O et al. KNN imputation. Bioinformatics. 2001;17:520-525.</w:t>
      </w:r>
    </w:p>
    <w:p>
      <w:pPr>
        <w:spacing w:after="40"/>
      </w:pPr>
      <w:r>
        <w:rPr>
          <w:rFonts w:ascii="Times New Roman" w:hAnsi="Times New Roman"/>
          <w:sz w:val="20"/>
        </w:rPr>
        <w:t>40. Bolstad BM et al. Quantile normalization. Bioinformatics. 2003;19:185-193.</w:t>
      </w:r>
    </w:p>
    <w:p>
      <w:pPr>
        <w:spacing w:after="40"/>
      </w:pPr>
      <w:r>
        <w:rPr>
          <w:rFonts w:ascii="Times New Roman" w:hAnsi="Times New Roman"/>
          <w:sz w:val="20"/>
        </w:rPr>
        <w:t>41. Hoerl AE, Kennard RW. Ridge regression. Technometrics. 1970;12:55-67.</w:t>
      </w:r>
    </w:p>
    <w:p>
      <w:pPr>
        <w:spacing w:after="40"/>
      </w:pPr>
      <w:r>
        <w:rPr>
          <w:rFonts w:ascii="Times New Roman" w:hAnsi="Times New Roman"/>
          <w:sz w:val="20"/>
        </w:rPr>
        <w:t>42. Chen T, Guestrin C. XGBoost. KDD. 2016:785-794.</w:t>
      </w:r>
    </w:p>
    <w:p>
      <w:pPr>
        <w:spacing w:after="40"/>
      </w:pPr>
      <w:r>
        <w:rPr>
          <w:rFonts w:ascii="Times New Roman" w:hAnsi="Times New Roman"/>
          <w:sz w:val="20"/>
        </w:rPr>
        <w:t>43. Prokhorenkova L et al. CatBoost. NeurIPS. 2018;31.</w:t>
      </w:r>
    </w:p>
    <w:p>
      <w:pPr>
        <w:spacing w:after="40"/>
      </w:pPr>
      <w:r>
        <w:rPr>
          <w:rFonts w:ascii="Times New Roman" w:hAnsi="Times New Roman"/>
          <w:sz w:val="20"/>
        </w:rPr>
        <w:t>44. Breiman L. Random forests. Mach Learn. 2001;45:5-32.</w:t>
      </w:r>
    </w:p>
    <w:p>
      <w:pPr>
        <w:spacing w:after="40"/>
      </w:pPr>
      <w:r>
        <w:rPr>
          <w:rFonts w:ascii="Times New Roman" w:hAnsi="Times New Roman"/>
          <w:sz w:val="20"/>
        </w:rPr>
        <w:t>45. Fraser CG, Harris EK. Biological variation. Crit Rev Clin Lab Sci. 1989;27:409-437.</w:t>
      </w:r>
    </w:p>
    <w:p>
      <w:pPr>
        <w:spacing w:after="40"/>
      </w:pPr>
      <w:r>
        <w:rPr>
          <w:rFonts w:ascii="Times New Roman" w:hAnsi="Times New Roman"/>
          <w:sz w:val="20"/>
        </w:rPr>
        <w:t>46. Ricos C et al. Biological variation databases. Scand J Clin Lab Invest. 1999;59:491-500.</w:t>
      </w:r>
    </w:p>
    <w:p>
      <w:pPr>
        <w:spacing w:after="40"/>
      </w:pPr>
      <w:r>
        <w:rPr>
          <w:rFonts w:ascii="Times New Roman" w:hAnsi="Times New Roman"/>
          <w:sz w:val="20"/>
        </w:rPr>
        <w:t>47. Efron B, Tibshirani RJ. An Introduction to the Bootstrap. CRC; 1994.</w:t>
      </w:r>
    </w:p>
    <w:p>
      <w:pPr>
        <w:spacing w:after="40"/>
      </w:pPr>
      <w:r>
        <w:rPr>
          <w:rFonts w:ascii="Times New Roman" w:hAnsi="Times New Roman"/>
          <w:sz w:val="20"/>
        </w:rPr>
        <w:t>48. World Medical Association. Declaration of Helsinki. JAMA. 2013;310:2191-2194.</w:t>
      </w:r>
    </w:p>
    <w:p>
      <w:pPr>
        <w:spacing w:after="40"/>
      </w:pPr>
      <w:r>
        <w:rPr>
          <w:rFonts w:ascii="Times New Roman" w:hAnsi="Times New Roman"/>
          <w:sz w:val="20"/>
        </w:rPr>
        <w:t>49. Kurman RJ et al. WHO Classification of Female Reproductive Tumours. IARC; 2014.</w:t>
      </w:r>
    </w:p>
    <w:p>
      <w:pPr>
        <w:spacing w:after="40"/>
      </w:pPr>
      <w:r>
        <w:rPr>
          <w:rFonts w:ascii="Times New Roman" w:hAnsi="Times New Roman"/>
          <w:sz w:val="20"/>
        </w:rPr>
        <w:t>50. Sterne JA et al. Multiple imputation. BMJ. 2009;338:b2393.</w:t>
      </w:r>
    </w:p>
    <w:p>
      <w:pPr>
        <w:spacing w:after="40"/>
      </w:pPr>
      <w:r>
        <w:rPr>
          <w:rFonts w:ascii="Times New Roman" w:hAnsi="Times New Roman"/>
          <w:sz w:val="20"/>
        </w:rPr>
        <w:t>51. Beretta L, Santaniello A. KNN imputation evaluation. BMC Med Inform Decis Mak. 2016;16(S3):74.</w:t>
      </w:r>
    </w:p>
    <w:p>
      <w:pPr>
        <w:spacing w:after="40"/>
      </w:pPr>
      <w:r>
        <w:rPr>
          <w:rFonts w:ascii="Times New Roman" w:hAnsi="Times New Roman"/>
          <w:sz w:val="20"/>
        </w:rPr>
        <w:t>52. Moons KG et al. TRIPOD explanation. Ann Intern Med. 2015;162:W1-73.</w:t>
      </w:r>
    </w:p>
    <w:p>
      <w:pPr>
        <w:spacing w:after="40"/>
      </w:pPr>
      <w:r>
        <w:rPr>
          <w:rFonts w:ascii="Times New Roman" w:hAnsi="Times New Roman"/>
          <w:sz w:val="20"/>
        </w:rPr>
        <w:t>53. Rubin DB. Multiple Imputation for Nonresponse. Wiley; 2004.</w:t>
      </w:r>
    </w:p>
    <w:p>
      <w:pPr>
        <w:spacing w:after="40"/>
      </w:pPr>
      <w:r>
        <w:rPr>
          <w:rFonts w:ascii="Times New Roman" w:hAnsi="Times New Roman"/>
          <w:sz w:val="20"/>
        </w:rPr>
        <w:t>54. Henderson KD et al. Menopause timing predictors. Am J Epidemiol. 2008;167:1287-1294.</w:t>
      </w:r>
    </w:p>
    <w:p>
      <w:pPr>
        <w:spacing w:after="40"/>
      </w:pPr>
      <w:r>
        <w:rPr>
          <w:rFonts w:ascii="Times New Roman" w:hAnsi="Times New Roman"/>
          <w:sz w:val="20"/>
        </w:rPr>
        <w:t>55. Cawley GC, Talbot NLC. Over-fitting in model selection. JMLR. 2010;11:2079-2107.</w:t>
      </w:r>
    </w:p>
    <w:p>
      <w:pPr>
        <w:spacing w:after="40"/>
      </w:pPr>
      <w:r>
        <w:rPr>
          <w:rFonts w:ascii="Times New Roman" w:hAnsi="Times New Roman"/>
          <w:sz w:val="20"/>
        </w:rPr>
        <w:t>56. Tibshirani R. Lasso regression. JRSSB. 1996;58:267-288.</w:t>
      </w:r>
    </w:p>
    <w:p>
      <w:pPr>
        <w:spacing w:after="40"/>
      </w:pPr>
      <w:r>
        <w:rPr>
          <w:rFonts w:ascii="Times New Roman" w:hAnsi="Times New Roman"/>
          <w:sz w:val="20"/>
        </w:rPr>
        <w:t>57. Moons KG et al. Risk prediction external validation. Heart. 2012;98:691-698.</w:t>
      </w:r>
    </w:p>
    <w:p>
      <w:pPr>
        <w:spacing w:after="40"/>
      </w:pPr>
      <w:r>
        <w:rPr>
          <w:rFonts w:ascii="Times New Roman" w:hAnsi="Times New Roman"/>
          <w:sz w:val="20"/>
        </w:rPr>
        <w:t>58. Pedregosa F et al. Scikit-learn. JMLR. 2011;12:2825-2830.</w:t>
      </w:r>
    </w:p>
    <w:p>
      <w:pPr>
        <w:spacing w:after="40"/>
      </w:pPr>
      <w:r>
        <w:rPr>
          <w:rFonts w:ascii="Times New Roman" w:hAnsi="Times New Roman"/>
          <w:sz w:val="20"/>
        </w:rPr>
        <w:t>59. Sturgeon CM et al. NACB tumor marker guidelines. Clin Chem. 2008;54:e11-79.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sz w:val="28"/>
        </w:rPr>
        <w:t>Declarations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Ethics approval and consent to participate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Retrospective study approved by participating hospital IRBs. Data de-identified. Consent waived per institutional policy and Declaration of Helsinki.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Consent for publication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Not applicable.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Availability of data and materials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Data restricted by patient privacy. Available from corresponding author on reasonable request subject to data-sharing agreements. Analysis pipeline: https://github.com/angelayaoo/Ovarian-Cancer-RiskSLIM.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Competing interests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None declared.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Funding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[To be completed]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Authors' contributions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[To be completed]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sz w:val="26"/>
        </w:rPr>
        <w:t>Acknowledgements</w:t>
      </w:r>
    </w:p>
    <w:p>
      <w:pPr>
        <w:spacing w:after="120"/>
      </w:pPr>
      <w:r>
        <w:rPr>
          <w:rFonts w:ascii="Times New Roman" w:hAnsi="Times New Roman" w:eastAsia="Times New Roman"/>
          <w:sz w:val="24"/>
        </w:rPr>
        <w:t>We thank clinical staff at participating hospitals for data collection.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