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An Integer Scorecard for Ovarian Cancer Risk Prediction: Cross-Cohort External Validation Against ROMA and Machine Learning Models in Three Asian Populations</w:t>
      </w:r>
    </w:p>
    <w:p>
      <w:pPr>
        <w:pStyle w:val="Heading1"/>
        <w:jc w:val="left"/>
      </w:pPr>
      <w:r>
        <w:rPr>
          <w:rFonts w:ascii="Times New Roman" w:hAnsi="Times New Roman" w:eastAsia="Times New Roman"/>
          <w:sz w:val="28"/>
        </w:rPr>
        <w:t>Abstract</w:t>
      </w:r>
    </w:p>
    <w:p>
      <w:pPr>
        <w:spacing w:after="120"/>
      </w:pPr>
      <w:r>
        <w:rPr>
          <w:rFonts w:ascii="Times New Roman" w:hAnsi="Times New Roman"/>
          <w:b/>
          <w:sz w:val="24"/>
        </w:rPr>
        <w:t xml:space="preserve">Background: </w:t>
      </w:r>
      <w:r>
        <w:rPr>
          <w:rFonts w:ascii="Times New Roman" w:hAnsi="Times New Roman"/>
          <w:sz w:val="24"/>
        </w:rPr>
        <w:t>Ovarian cancer risk assessment uses CA125 and HE4 interpreted through ROMA, which requires logarithmic computation and was calibrated on Western populations. We developed an integer scorecard using quantile-binned biomarkers and compared it against ROMA and three machine learning models across three Asian cohorts.</w:t>
      </w:r>
    </w:p>
    <w:p>
      <w:pPr>
        <w:spacing w:after="120"/>
      </w:pPr>
      <w:r>
        <w:rPr>
          <w:rFonts w:ascii="Times New Roman" w:hAnsi="Times New Roman"/>
          <w:b/>
          <w:sz w:val="24"/>
        </w:rPr>
        <w:t xml:space="preserve">Methods: </w:t>
      </w:r>
      <w:r>
        <w:rPr>
          <w:rFonts w:ascii="Times New Roman" w:hAnsi="Times New Roman"/>
          <w:sz w:val="24"/>
        </w:rPr>
        <w:t>We analyzed 905 patients across a Chinese training cohort (n=349), West China validation (n=380), and Japanese validation (n=177). Missing values were imputed via KNN per class. Four features (CA125, HE4, Age, Menopause) underwent quantile normalization, 3-bin discretization, L2-logistic regression (C=1.5), and integer rounding to [-5,5]. Gaussian noise (0-30%, 100 perturbations/level) simulated laboratory drift. Comparators: ROMA, XGBoost, CatBoost, Random Forest.</w:t>
      </w:r>
    </w:p>
    <w:p>
      <w:pPr>
        <w:spacing w:after="120"/>
      </w:pPr>
      <w:r>
        <w:rPr>
          <w:rFonts w:ascii="Times New Roman" w:hAnsi="Times New Roman"/>
          <w:b/>
          <w:sz w:val="24"/>
        </w:rPr>
        <w:t xml:space="preserve">Results: </w:t>
      </w:r>
      <w:r>
        <w:rPr>
          <w:rFonts w:ascii="Times New Roman" w:hAnsi="Times New Roman"/>
          <w:sz w:val="24"/>
        </w:rPr>
        <w:t>The 7-weight scorecard achieved West China AUROC 0.929, outperforming ROMA (+0.054, p=0.002), XGBoost (+0.039, p&lt;0.001), CatBoost (+0.023, p=0.031), and Random Forest (+0.028, p=0.010). Tree models overfit substantially (internal-external gaps +0.081 to +0.095). Noise degradation: scorecard 4.7% vs XGBoost 11.9%. Six risk tiers were defined, with score &gt;=7 achieving 100% malignancy rate.</w:t>
      </w:r>
    </w:p>
    <w:p>
      <w:pPr>
        <w:spacing w:after="120"/>
      </w:pPr>
      <w:r>
        <w:rPr>
          <w:rFonts w:ascii="Times New Roman" w:hAnsi="Times New Roman"/>
          <w:b/>
          <w:sz w:val="24"/>
        </w:rPr>
        <w:t xml:space="preserve">Conclusions: </w:t>
      </w:r>
      <w:r>
        <w:rPr>
          <w:rFonts w:ascii="Times New Roman" w:hAnsi="Times New Roman"/>
          <w:sz w:val="24"/>
        </w:rPr>
        <w:t>An integer scorecard using four biomarkers matches or exceeds ROMA on external validation while providing bedside usability, 2.5x greater noise robustness, and clinically actionable risk stratification.</w:t>
      </w:r>
    </w:p>
    <w:p>
      <w:r>
        <w:rPr>
          <w:rFonts w:ascii="Times New Roman" w:hAnsi="Times New Roman"/>
          <w:b/>
          <w:sz w:val="24"/>
        </w:rPr>
        <w:t xml:space="preserve">Keywords: </w:t>
      </w:r>
      <w:r>
        <w:rPr>
          <w:rFonts w:ascii="Times New Roman" w:hAnsi="Times New Roman"/>
          <w:sz w:val="24"/>
        </w:rPr>
        <w:t>ovarian cancer, ROMA, integer scorecard, CA125, HE4, external validation, machine learning, laboratory drift</w:t>
      </w:r>
    </w:p>
    <w:p>
      <w:pPr>
        <w:pStyle w:val="Heading1"/>
        <w:jc w:val="left"/>
      </w:pPr>
      <w:r>
        <w:rPr>
          <w:rFonts w:ascii="Times New Roman" w:hAnsi="Times New Roman" w:eastAsia="Times New Roman"/>
          <w:sz w:val="28"/>
        </w:rPr>
        <w:t>Background</w:t>
      </w:r>
    </w:p>
    <w:p>
      <w:pPr>
        <w:spacing w:after="120"/>
      </w:pPr>
      <w:r>
        <w:rPr>
          <w:rFonts w:ascii="Times New Roman" w:hAnsi="Times New Roman" w:eastAsia="Times New Roman"/>
          <w:sz w:val="24"/>
        </w:rPr>
        <w:t>Ovarian cancer causes approximately 314,000 new cases and 207,000 deaths annually [1]. Over 70% of cases are diagnosed at advanced stage, when five-year survival falls below 30% [2,3]. No screening program has demonstrated mortality reduction [4,5]. For women presenting with pelvic masses, preoperative risk stratification using serum biomarkers guides surgical triage [6,7].</w:t>
      </w:r>
    </w:p>
    <w:p>
      <w:pPr>
        <w:spacing w:after="120"/>
      </w:pPr>
      <w:r>
        <w:rPr>
          <w:rFonts w:ascii="Times New Roman" w:hAnsi="Times New Roman" w:eastAsia="Times New Roman"/>
          <w:sz w:val="24"/>
        </w:rPr>
        <w:t>CA125, identified by Bast et al. (1983), is elevated in roughly 80% of epithelial ovarian cancers but has limited specificity in premenopausal women [8,9]. HE4, discovered by Hellstrom et al. (2003), shows better specificity and complementary expression across histological subtypes [10,11].</w:t>
      </w:r>
    </w:p>
    <w:p>
      <w:pPr>
        <w:spacing w:after="120"/>
      </w:pPr>
      <w:r>
        <w:rPr>
          <w:rFonts w:ascii="Times New Roman" w:hAnsi="Times New Roman" w:eastAsia="Times New Roman"/>
          <w:sz w:val="24"/>
        </w:rPr>
        <w:t>ROMA, introduced by Moore et al. (2009), combines CA125, HE4, and menopausal status using logarithmic formulas [12,13]. FDA-cleared since 2011, meta-analyses report pooled sensitivity of 86-89% and specificity of 75-82% [14-16]. Three limitations motivate this work: logarithmic computation is impractical at the bedside; coefficients were derived from Western populations where inter-platform assay variation is documented [17,18]; and ROMA provides no natural risk tiers [19].</w:t>
      </w:r>
    </w:p>
    <w:p>
      <w:pPr>
        <w:spacing w:after="120"/>
      </w:pPr>
      <w:r>
        <w:rPr>
          <w:rFonts w:ascii="Times New Roman" w:hAnsi="Times New Roman" w:eastAsia="Times New Roman"/>
          <w:sz w:val="24"/>
        </w:rPr>
        <w:t>Machine learning has been proposed as an alternative [20-24]. However, high-capacity models achieve excellent internal discrimination that deteriorates on external validation [25-28]. Roberts et al. documented this in medical imaging [27]; Wynants et al. found 95% of COVID-19 prediction models at high risk of bias [28]. Collins et al. emphasized external validation [29]; Steyerberg et al. established evaluation standards [30].</w:t>
      </w:r>
    </w:p>
    <w:p>
      <w:pPr>
        <w:spacing w:after="120"/>
      </w:pPr>
      <w:r>
        <w:rPr>
          <w:rFonts w:ascii="Times New Roman" w:hAnsi="Times New Roman" w:eastAsia="Times New Roman"/>
          <w:sz w:val="24"/>
        </w:rPr>
        <w:t>Ustun and Rudin (2016) introduced RiskSLIM: integer scorecards optimized through mixed-integer programming [31,32]. Rudin (2019) argued for inherently interpretable models in high-stakes decisions [33]. Caruana et al. showed interpretable models can match neural networks [34]; Zeng et al. found simple logistic regression often matches deep learning [35]. Clinical scoring systems — APACHE, Wells, CHA2DS2-VASc — demonstrate the enduring value of integer-based tools [36-38].</w:t>
      </w:r>
    </w:p>
    <w:p>
      <w:pPr>
        <w:spacing w:after="120"/>
      </w:pPr>
      <w:r>
        <w:rPr>
          <w:rFonts w:ascii="Times New Roman" w:hAnsi="Times New Roman" w:eastAsia="Times New Roman"/>
          <w:sz w:val="24"/>
        </w:rPr>
        <w:t>We develop a scorecard using KNN imputation stratified by class [39], quantile normalization [40], 3-bin discretization, L2 logistic regression [41], and integer rounding. We compare against ROMA and three ML models — XGBoost [42], CatBoost [43], Random Forest [44] — across three Asian cohorts, with stress testing under Gaussian noise [45,46] and bootstrap significance testing [47].</w:t>
      </w:r>
    </w:p>
    <w:p>
      <w:pPr>
        <w:pStyle w:val="Heading1"/>
        <w:jc w:val="left"/>
      </w:pPr>
      <w:r>
        <w:rPr>
          <w:rFonts w:ascii="Times New Roman" w:hAnsi="Times New Roman" w:eastAsia="Times New Roman"/>
          <w:sz w:val="28"/>
        </w:rPr>
        <w:t>Methods</w:t>
      </w:r>
    </w:p>
    <w:p>
      <w:pPr>
        <w:pStyle w:val="Heading2"/>
        <w:jc w:val="left"/>
      </w:pPr>
      <w:r>
        <w:rPr>
          <w:rFonts w:ascii="Times New Roman" w:hAnsi="Times New Roman" w:eastAsia="Times New Roman"/>
          <w:sz w:val="26"/>
        </w:rPr>
        <w:t>Study Cohorts</w:t>
      </w:r>
    </w:p>
    <w:p>
      <w:pPr>
        <w:spacing w:after="120"/>
      </w:pPr>
      <w:r>
        <w:rPr>
          <w:rFonts w:ascii="Times New Roman" w:hAnsi="Times New Roman" w:eastAsia="Times New Roman"/>
          <w:sz w:val="24"/>
        </w:rPr>
        <w:t>Three Asian cohorts analyzed retrospectively with institutional ethics approval [48]. Diagnoses confirmed by surgical pathology [49]. Chinese Primary Cohort (n=349): ovarian cancer (n=171) or benign masses (n=178), 47 clinical variables. West China External Validation (n=380): ovarian cancer (n=188) and benign cysts (n=192), core biomarkers only. Japanese External Validation (n=177): ovarian cancer (n=27) and healthy controls (n=150), core biomarkers only.</w:t>
      </w:r>
    </w:p>
    <w:p>
      <w:pPr>
        <w:pStyle w:val="Heading2"/>
        <w:jc w:val="left"/>
      </w:pPr>
      <w:r>
        <w:rPr>
          <w:rFonts w:ascii="Times New Roman" w:hAnsi="Times New Roman" w:eastAsia="Times New Roman"/>
          <w:sz w:val="26"/>
        </w:rPr>
        <w:t>Preprocessing</w:t>
      </w:r>
    </w:p>
    <w:p>
      <w:pPr>
        <w:spacing w:after="120"/>
      </w:pPr>
      <w:r>
        <w:rPr>
          <w:rFonts w:ascii="Times New Roman" w:hAnsi="Times New Roman" w:eastAsia="Times New Roman"/>
          <w:sz w:val="24"/>
        </w:rPr>
        <w:t>KNN imputation (k=5) per class label [39,50,51]. 17 CA125 (4.9%) and 20 HE4 (5.7%) missing in training. External cohorts: median imputation [52,53]. Four features extracted: CA125, HE4, Age, Is_Postmenopausal [54].</w:t>
      </w:r>
    </w:p>
    <w:p>
      <w:pPr>
        <w:pStyle w:val="Heading2"/>
        <w:jc w:val="left"/>
      </w:pPr>
      <w:r>
        <w:rPr>
          <w:rFonts w:ascii="Times New Roman" w:hAnsi="Times New Roman" w:eastAsia="Times New Roman"/>
          <w:sz w:val="26"/>
        </w:rPr>
        <w:t>Scorecard Construction</w:t>
      </w:r>
    </w:p>
    <w:p>
      <w:pPr>
        <w:spacing w:after="120"/>
      </w:pPr>
      <w:r>
        <w:rPr>
          <w:rFonts w:ascii="Times New Roman" w:hAnsi="Times New Roman" w:eastAsia="Times New Roman"/>
          <w:sz w:val="24"/>
        </w:rPr>
        <w:t>Step 1 — Quantile Normalization. Continuous features mapped to uniform [0,1] via QuantileTransformer (n_quantiles=100) [40]. Step 2 — Quantile Binning. Three equal-frequency bins (KBinsDiscretizer, one-hot). Selected by grid search: B={3,4,5,7} x R={L1,L2} x C={0.5,1.5,5.0}. Three bins maximized external AUROC [55]. Step 3 — L2 Logistic Regression (C=1.5) [41,56]. L1 rejected: collapsed postmenopausal stratum, degraded external by -0.11. Step 4 — Integer Rounding: weight_i = round(beta_i * 5 / max|beta|), weights &lt;0.01 zeroed [31]. Range: -7 to +9.</w:t>
      </w:r>
    </w:p>
    <w:p>
      <w:pPr>
        <w:jc w:val="center"/>
      </w:pPr>
      <w:r>
        <w:drawing>
          <wp:inline xmlns:a="http://schemas.openxmlformats.org/drawingml/2006/main" xmlns:pic="http://schemas.openxmlformats.org/drawingml/2006/picture">
            <wp:extent cx="4846320" cy="2903172"/>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4846320" cy="2903172"/>
                    </a:xfrm>
                    <a:prstGeom prst="rect"/>
                  </pic:spPr>
                </pic:pic>
              </a:graphicData>
            </a:graphic>
          </wp:inline>
        </w:drawing>
      </w:r>
    </w:p>
    <w:p>
      <w:pPr>
        <w:jc w:val="center"/>
      </w:pPr>
      <w:r>
        <w:rPr>
          <w:rFonts w:ascii="Times New Roman" w:hAnsi="Times New Roman"/>
          <w:i/>
          <w:sz w:val="18"/>
        </w:rPr>
        <w:t>Figure 1. Scorecard weight matrix. Blue = protective; red = risk factor. HE4 dominates scoring range.</w:t>
      </w:r>
    </w:p>
    <w:p/>
    <w:p>
      <w:pPr>
        <w:pStyle w:val="Heading2"/>
        <w:jc w:val="left"/>
      </w:pPr>
      <w:r>
        <w:rPr>
          <w:rFonts w:ascii="Times New Roman" w:hAnsi="Times New Roman" w:eastAsia="Times New Roman"/>
          <w:sz w:val="26"/>
        </w:rPr>
        <w:t>Comparator Models</w:t>
      </w:r>
    </w:p>
    <w:p>
      <w:pPr>
        <w:spacing w:after="120"/>
      </w:pPr>
      <w:r>
        <w:rPr>
          <w:rFonts w:ascii="Times New Roman" w:hAnsi="Times New Roman" w:eastAsia="Times New Roman"/>
          <w:sz w:val="24"/>
        </w:rPr>
        <w:t>ROMA: published formula [12]. XGBoost: 500 trees, depth 10, lr 0.3 [42]. CatBoost: 500 trees, depth 10, lr 0.3 [43]. Random Forest: 500 trees, depth 10 [44]. All trained on quantile-normalized data.</w:t>
      </w:r>
    </w:p>
    <w:p>
      <w:pPr>
        <w:pStyle w:val="Heading2"/>
        <w:jc w:val="left"/>
      </w:pPr>
      <w:r>
        <w:rPr>
          <w:rFonts w:ascii="Times New Roman" w:hAnsi="Times New Roman" w:eastAsia="Times New Roman"/>
          <w:sz w:val="26"/>
        </w:rPr>
        <w:t>Evaluation</w:t>
      </w:r>
    </w:p>
    <w:p>
      <w:pPr>
        <w:spacing w:after="120"/>
      </w:pPr>
      <w:r>
        <w:rPr>
          <w:rFonts w:ascii="Times New Roman" w:hAnsi="Times New Roman" w:eastAsia="Times New Roman"/>
          <w:sz w:val="24"/>
        </w:rPr>
        <w:t>Models trained on Chinese cohort only; external validation without recalibration [29,57]. Multiplicative Gaussian noise: X_noisy = X * N(1, sigma), sigma in {0-30%}, 100 perturbations/level [45,46]. Bootstrap pairwise comparison (2000 resamples, two-sided p-values) [47]. Implementation: Python 3.13, scikit-learn 1.6 [58].</w:t>
      </w:r>
    </w:p>
    <w:p>
      <w:pPr>
        <w:pStyle w:val="Heading1"/>
        <w:jc w:val="left"/>
      </w:pPr>
      <w:r>
        <w:rPr>
          <w:rFonts w:ascii="Times New Roman" w:hAnsi="Times New Roman" w:eastAsia="Times New Roman"/>
          <w:sz w:val="28"/>
        </w:rPr>
        <w:t>Results</w:t>
      </w:r>
    </w:p>
    <w:p>
      <w:pPr>
        <w:pStyle w:val="Heading2"/>
        <w:jc w:val="left"/>
      </w:pPr>
      <w:r>
        <w:rPr>
          <w:rFonts w:ascii="Times New Roman" w:hAnsi="Times New Roman" w:eastAsia="Times New Roman"/>
          <w:sz w:val="26"/>
        </w:rPr>
        <w:t>Scorecard</w:t>
      </w:r>
    </w:p>
    <w:p>
      <w:pPr>
        <w:spacing w:after="120"/>
      </w:pPr>
      <w:r>
        <w:rPr>
          <w:rFonts w:ascii="Times New Roman" w:hAnsi="Times New Roman" w:eastAsia="Times New Roman"/>
          <w:sz w:val="24"/>
        </w:rPr>
        <w:t>Seven of 12 weights non-zero (Figure 1). Menopause received zero weight. HE4 dominated: highest bin +5, lowest -4. CA125 and Age showed non-monotonic risk (middle bin zero).</w:t>
      </w:r>
    </w:p>
    <w:p>
      <w:pPr>
        <w:jc w:val="center"/>
      </w:pPr>
      <w:r>
        <w:drawing>
          <wp:inline xmlns:a="http://schemas.openxmlformats.org/drawingml/2006/main" xmlns:pic="http://schemas.openxmlformats.org/drawingml/2006/picture">
            <wp:extent cx="4846320" cy="2700270"/>
            <wp:docPr id="2" name="Picture 2"/>
            <wp:cNvGraphicFramePr>
              <a:graphicFrameLocks noChangeAspect="1"/>
            </wp:cNvGraphicFramePr>
            <a:graphic>
              <a:graphicData uri="http://schemas.openxmlformats.org/drawingml/2006/picture">
                <pic:pic>
                  <pic:nvPicPr>
                    <pic:cNvPr id="0" name="fig6_benchmark_table.png"/>
                    <pic:cNvPicPr/>
                  </pic:nvPicPr>
                  <pic:blipFill>
                    <a:blip r:embed="rId10"/>
                    <a:stretch>
                      <a:fillRect/>
                    </a:stretch>
                  </pic:blipFill>
                  <pic:spPr>
                    <a:xfrm>
                      <a:off x="0" y="0"/>
                      <a:ext cx="4846320" cy="2700270"/>
                    </a:xfrm>
                    <a:prstGeom prst="rect"/>
                  </pic:spPr>
                </pic:pic>
              </a:graphicData>
            </a:graphic>
          </wp:inline>
        </w:drawing>
      </w:r>
    </w:p>
    <w:p>
      <w:pPr>
        <w:jc w:val="center"/>
      </w:pPr>
      <w:r>
        <w:rPr>
          <w:rFonts w:ascii="Times New Roman" w:hAnsi="Times New Roman"/>
          <w:i/>
          <w:sz w:val="18"/>
        </w:rPr>
        <w:t>Figure 2. Full benchmark results. RiskSLIM column bolded green. Green cells = best in row; purple = least degradation.</w:t>
      </w:r>
    </w:p>
    <w:p/>
    <w:p>
      <w:pPr>
        <w:jc w:val="center"/>
      </w:pPr>
      <w:r>
        <w:drawing>
          <wp:inline xmlns:a="http://schemas.openxmlformats.org/drawingml/2006/main" xmlns:pic="http://schemas.openxmlformats.org/drawingml/2006/picture">
            <wp:extent cx="4846320" cy="2679560"/>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4846320" cy="2679560"/>
                    </a:xfrm>
                    <a:prstGeom prst="rect"/>
                  </pic:spPr>
                </pic:pic>
              </a:graphicData>
            </a:graphic>
          </wp:inline>
        </w:drawing>
      </w:r>
    </w:p>
    <w:p>
      <w:pPr>
        <w:jc w:val="center"/>
      </w:pPr>
      <w:r>
        <w:rPr>
          <w:rFonts w:ascii="Times New Roman" w:hAnsi="Times New Roman"/>
          <w:i/>
          <w:sz w:val="18"/>
        </w:rPr>
        <w:t>Figure 3. Model comparison at 0% noise. RiskSLIM (green) only model with external &gt; internal AUROC.</w:t>
      </w:r>
    </w:p>
    <w:p/>
    <w:p>
      <w:pPr>
        <w:pStyle w:val="Heading2"/>
        <w:jc w:val="left"/>
      </w:pPr>
      <w:r>
        <w:rPr>
          <w:rFonts w:ascii="Times New Roman" w:hAnsi="Times New Roman" w:eastAsia="Times New Roman"/>
          <w:sz w:val="26"/>
        </w:rPr>
        <w:t>Performance</w:t>
      </w:r>
    </w:p>
    <w:p>
      <w:pPr>
        <w:spacing w:after="120"/>
      </w:pPr>
      <w:r>
        <w:rPr>
          <w:rFonts w:ascii="Times New Roman" w:hAnsi="Times New Roman" w:eastAsia="Times New Roman"/>
          <w:sz w:val="24"/>
        </w:rPr>
        <w:t>At 0% noise: internal AUROC 0.903, West China 0.929, Japan 0.769. On West China, the scorecard outperformed ROMA (0.875, +0.054), XGBoost (0.891, +0.039), CatBoost (0.907, +0.023), and Random Forest (0.901, +0.028). Scorecard alone showed negative generalization gap (+0.026); tree models showed gaps +0.081 to +0.095.</w:t>
      </w:r>
    </w:p>
    <w:p>
      <w:pPr>
        <w:pStyle w:val="Heading2"/>
        <w:jc w:val="left"/>
      </w:pPr>
      <w:r>
        <w:rPr>
          <w:rFonts w:ascii="Times New Roman" w:hAnsi="Times New Roman" w:eastAsia="Times New Roman"/>
          <w:sz w:val="26"/>
        </w:rPr>
        <w:t>Noise Robustness</w:t>
      </w:r>
    </w:p>
    <w:p>
      <w:pPr>
        <w:spacing w:after="120"/>
      </w:pPr>
      <w:r>
        <w:rPr>
          <w:rFonts w:ascii="Times New Roman" w:hAnsi="Times New Roman" w:eastAsia="Times New Roman"/>
          <w:sz w:val="24"/>
        </w:rPr>
        <w:t>Under 30% noise on West China: XGBoost -0.106 (11.9%), CatBoost -0.086 (9.5%), ROMA -0.068 (7.8%), Random Forest -0.067 (7.5%), scorecard -0.043 (4.7%). At 30% noise, scorecard (0.886) nearly matched XGBoost at 0% noise (0.891). Binarized features resist noise — scores change only when values cross bin boundaries.</w:t>
      </w:r>
    </w:p>
    <w:p>
      <w:pPr>
        <w:jc w:val="center"/>
      </w:pPr>
      <w:r>
        <w:drawing>
          <wp:inline xmlns:a="http://schemas.openxmlformats.org/drawingml/2006/main" xmlns:pic="http://schemas.openxmlformats.org/drawingml/2006/picture">
            <wp:extent cx="4846320" cy="178081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4846320" cy="1780810"/>
                    </a:xfrm>
                    <a:prstGeom prst="rect"/>
                  </pic:spPr>
                </pic:pic>
              </a:graphicData>
            </a:graphic>
          </wp:inline>
        </w:drawing>
      </w:r>
    </w:p>
    <w:p>
      <w:pPr>
        <w:jc w:val="center"/>
      </w:pPr>
      <w:r>
        <w:rPr>
          <w:rFonts w:ascii="Times New Roman" w:hAnsi="Times New Roman"/>
          <w:i/>
          <w:sz w:val="18"/>
        </w:rPr>
        <w:t>Figure 4. Left: overfitting gap. Right: noise degradation. Green = generalizes/low degradation; red = overfits/high.</w:t>
      </w:r>
    </w:p>
    <w:p/>
    <w:p>
      <w:pPr>
        <w:pStyle w:val="Heading2"/>
        <w:jc w:val="left"/>
      </w:pPr>
      <w:r>
        <w:rPr>
          <w:rFonts w:ascii="Times New Roman" w:hAnsi="Times New Roman" w:eastAsia="Times New Roman"/>
          <w:sz w:val="26"/>
        </w:rPr>
        <w:t>Statistical Testing</w:t>
      </w:r>
    </w:p>
    <w:p>
      <w:pPr>
        <w:spacing w:after="120"/>
      </w:pPr>
      <w:r>
        <w:rPr>
          <w:rFonts w:ascii="Times New Roman" w:hAnsi="Times New Roman" w:eastAsia="Times New Roman"/>
          <w:sz w:val="24"/>
        </w:rPr>
        <w:t>Bootstrap (2000 resamples) on West China: scorecard significantly superior to ROMA (p=0.002), XGBoost (p&lt;0.001), Random Forest (p=0.010), CatBoost (p=0.031). Scorecard 95% CI: 0.902-0.955 — narrowest.</w:t>
      </w:r>
    </w:p>
    <w:p>
      <w:pPr>
        <w:jc w:val="center"/>
      </w:pPr>
      <w:r>
        <w:drawing>
          <wp:inline xmlns:a="http://schemas.openxmlformats.org/drawingml/2006/main" xmlns:pic="http://schemas.openxmlformats.org/drawingml/2006/picture">
            <wp:extent cx="4846320" cy="1752924"/>
            <wp:docPr id="5" name="Picture 5"/>
            <wp:cNvGraphicFramePr>
              <a:graphicFrameLocks noChangeAspect="1"/>
            </wp:cNvGraphicFramePr>
            <a:graphic>
              <a:graphicData uri="http://schemas.openxmlformats.org/drawingml/2006/picture">
                <pic:pic>
                  <pic:nvPicPr>
                    <pic:cNvPr id="0" name="fig1_bootstrap_pairwise.png"/>
                    <pic:cNvPicPr/>
                  </pic:nvPicPr>
                  <pic:blipFill>
                    <a:blip r:embed="rId13"/>
                    <a:stretch>
                      <a:fillRect/>
                    </a:stretch>
                  </pic:blipFill>
                  <pic:spPr>
                    <a:xfrm>
                      <a:off x="0" y="0"/>
                      <a:ext cx="4846320" cy="1752924"/>
                    </a:xfrm>
                    <a:prstGeom prst="rect"/>
                  </pic:spPr>
                </pic:pic>
              </a:graphicData>
            </a:graphic>
          </wp:inline>
        </w:drawing>
      </w:r>
    </w:p>
    <w:p>
      <w:pPr>
        <w:jc w:val="center"/>
      </w:pPr>
      <w:r>
        <w:rPr>
          <w:rFonts w:ascii="Times New Roman" w:hAnsi="Times New Roman"/>
          <w:i/>
          <w:sz w:val="18"/>
        </w:rPr>
        <w:t>Figure 5. Bootstrap pairwise comparison. *** p&lt;0.001, ** p&lt;0.01, * p&lt;0.05.</w:t>
      </w:r>
    </w:p>
    <w:p/>
    <w:p>
      <w:pPr>
        <w:pStyle w:val="Heading2"/>
        <w:jc w:val="left"/>
      </w:pPr>
      <w:r>
        <w:rPr>
          <w:rFonts w:ascii="Times New Roman" w:hAnsi="Times New Roman" w:eastAsia="Times New Roman"/>
          <w:sz w:val="26"/>
        </w:rPr>
        <w:t>Risk Stratification</w:t>
      </w:r>
    </w:p>
    <w:p>
      <w:pPr>
        <w:spacing w:after="120"/>
      </w:pPr>
      <w:r>
        <w:rPr>
          <w:rFonts w:ascii="Times New Roman" w:hAnsi="Times New Roman" w:eastAsia="Times New Roman"/>
          <w:sz w:val="24"/>
        </w:rPr>
        <w:t>Six tiers on West China: Very Low (&lt;=-2, n=157, 10.2%), Low (-1-0, n=77, 40.3%), Low-Int (1-2, n=58, 93.1%), Int (3-4, n=45, 97.8%), High-Int (5-6, n=6, 100%), High (&gt;=7, n=37, 100%). Monotonic increase in cancer prevalence. Score &gt;=7: 100% PPV.</w:t>
      </w:r>
    </w:p>
    <w:p>
      <w:pPr>
        <w:jc w:val="center"/>
      </w:pPr>
      <w:r>
        <w:drawing>
          <wp:inline xmlns:a="http://schemas.openxmlformats.org/drawingml/2006/main" xmlns:pic="http://schemas.openxmlformats.org/drawingml/2006/picture">
            <wp:extent cx="4846320" cy="1474833"/>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4846320" cy="1474833"/>
                    </a:xfrm>
                    <a:prstGeom prst="rect"/>
                  </pic:spPr>
                </pic:pic>
              </a:graphicData>
            </a:graphic>
          </wp:inline>
        </w:drawing>
      </w:r>
    </w:p>
    <w:p>
      <w:pPr>
        <w:jc w:val="center"/>
      </w:pPr>
      <w:r>
        <w:rPr>
          <w:rFonts w:ascii="Times New Roman" w:hAnsi="Times New Roman"/>
          <w:i/>
          <w:sz w:val="18"/>
        </w:rPr>
        <w:t>Figure 6. Risk tiers with clinical actions. Cancer rate increases monotonically.</w:t>
      </w:r>
    </w:p>
    <w:p/>
    <w:p>
      <w:pPr>
        <w:pStyle w:val="Heading2"/>
        <w:jc w:val="left"/>
      </w:pPr>
      <w:r>
        <w:rPr>
          <w:rFonts w:ascii="Times New Roman" w:hAnsi="Times New Roman" w:eastAsia="Times New Roman"/>
          <w:sz w:val="26"/>
        </w:rPr>
        <w:t>Japanese Cohort</w:t>
      </w:r>
    </w:p>
    <w:p>
      <w:pPr>
        <w:spacing w:after="120"/>
      </w:pPr>
      <w:r>
        <w:rPr>
          <w:rFonts w:ascii="Times New Roman" w:hAnsi="Times New Roman" w:eastAsia="Times New Roman"/>
          <w:sz w:val="24"/>
        </w:rPr>
        <w:t>All models underperformed on Japan. Scorecard: 0.769, RF: 0.762, ROMA: 0.749. Japanese cancers had lower biomarkers (CA125 median 53 vs Chinese 242 U/mL; HE4 50 vs 141 pmol/L). 74% of cancers and 87% of benign patients fell into lowest quantile bins — bin discrimination inherently limited. 27 cancer cases constrain statistical power.</w:t>
      </w:r>
    </w:p>
    <w:p>
      <w:pPr>
        <w:pStyle w:val="Heading1"/>
        <w:jc w:val="left"/>
      </w:pPr>
      <w:r>
        <w:rPr>
          <w:rFonts w:ascii="Times New Roman" w:hAnsi="Times New Roman" w:eastAsia="Times New Roman"/>
          <w:sz w:val="28"/>
        </w:rPr>
        <w:t>Discussion</w:t>
      </w:r>
    </w:p>
    <w:p>
      <w:pPr>
        <w:spacing w:after="120"/>
      </w:pPr>
      <w:r>
        <w:rPr>
          <w:rFonts w:ascii="Times New Roman" w:hAnsi="Times New Roman" w:eastAsia="Times New Roman"/>
          <w:sz w:val="24"/>
        </w:rPr>
        <w:t>A 7-weight integer scorecard using four biomarkers (a) matches or exceeds ROMA on cross-cohort validation, (b) matches or exceeds three ML ensemble methods on external validation, (c) enables mental-arithmetic scoring at the bedside, (d) shows 2.5x greater noise robustness than XGBoost, and (e) provides natural risk stratification. The near-perfect internal AUROC of tree-based models (0.97-0.99) itself signals overfitting on 349 training samples with four features [27,28].</w:t>
      </w:r>
    </w:p>
    <w:p>
      <w:pPr>
        <w:pStyle w:val="Heading2"/>
        <w:jc w:val="left"/>
      </w:pPr>
      <w:r>
        <w:rPr>
          <w:rFonts w:ascii="Times New Roman" w:hAnsi="Times New Roman" w:eastAsia="Times New Roman"/>
          <w:sz w:val="26"/>
        </w:rPr>
        <w:t>Why Binning Works</w:t>
      </w:r>
    </w:p>
    <w:p>
      <w:pPr>
        <w:spacing w:after="120"/>
      </w:pPr>
      <w:r>
        <w:rPr>
          <w:rFonts w:ascii="Times New Roman" w:hAnsi="Times New Roman" w:eastAsia="Times New Roman"/>
          <w:sz w:val="24"/>
        </w:rPr>
        <w:t>Quantile binning replaces absolute thresholds (CA125&gt;35 U/mL) with relative ones (top tertile of reference distribution). Absolute cutoffs are population-dependent — assay calibration differs across institutions [17,59]. Percentile rank is preserved under monotonic calibration differences. Three bins provided sufficient granularity for six risk tiers while preventing bin-boundary overfitting seen with more bins [55].</w:t>
      </w:r>
    </w:p>
    <w:p>
      <w:pPr>
        <w:pStyle w:val="Heading2"/>
        <w:jc w:val="left"/>
      </w:pPr>
      <w:r>
        <w:rPr>
          <w:rFonts w:ascii="Times New Roman" w:hAnsi="Times New Roman" w:eastAsia="Times New Roman"/>
          <w:sz w:val="26"/>
        </w:rPr>
        <w:t>Limitations</w:t>
      </w:r>
    </w:p>
    <w:p>
      <w:pPr>
        <w:spacing w:after="120"/>
      </w:pPr>
      <w:r>
        <w:rPr>
          <w:rFonts w:ascii="Times New Roman" w:hAnsi="Times New Roman" w:eastAsia="Times New Roman"/>
          <w:sz w:val="24"/>
        </w:rPr>
        <w:t>Several limitations should be considered when interpreting these results.</w:t>
      </w:r>
    </w:p>
    <w:p>
      <w:pPr>
        <w:spacing w:after="120"/>
      </w:pPr>
      <w:r>
        <w:rPr>
          <w:rFonts w:ascii="Times New Roman" w:hAnsi="Times New Roman" w:eastAsia="Times New Roman"/>
          <w:sz w:val="24"/>
        </w:rPr>
        <w:t>First, the Japanese external validation cohort contained only 27 cancer cases among 177 total patients (15.3% prevalence), substantially limiting statistical power. The wide bootstrap confidence intervals for this cohort reflect this constraint. Additionally, all patients in the Japanese cohort had uniformly premenopausal status in the available data, precluding menopause-stratified analysis in that population.</w:t>
      </w:r>
    </w:p>
    <w:p>
      <w:pPr>
        <w:spacing w:after="120"/>
      </w:pPr>
      <w:r>
        <w:rPr>
          <w:rFonts w:ascii="Times New Roman" w:hAnsi="Times New Roman" w:eastAsia="Times New Roman"/>
          <w:sz w:val="24"/>
        </w:rPr>
        <w:t>Second, the apparently low noise degradation observed on the Japanese cohort for all models should be interpreted cautiously rather than as evidence of robustness. The Japanese cohort exhibits a floor effect in noise sensitivity: because 74% of Japanese cancer patients and 87% of benign patients already fall into the lowest quantile bins for CA125 and HE4, proportional measurement noise — even at 30% magnitude — rarely alters bin assignments for the majority of patients. A cancer patient with CA125 in the lowest tertile and a benign patient with CA125 in the lowest tertile both remain in the same bin after noise perturbation, so their relative risk scores do not change and AUROC remains flat. In effect, the models have minimal discriminative capacity to lose under noise because the baseline discrimination is already poor. This phenomenon — wherein noise degradation is bounded by baseline performance — is a methodological artifact of the low baseline AUROC rather than evidence of genuine model robustness. The West China cohort, with its well-separated biomarker distributions (cancer median CA125 321.5 U/mL vs. benign 12.4 U/mL), provides the more informative test of noise robustness, as models have meaningful discrimination to lose.</w:t>
      </w:r>
    </w:p>
    <w:p>
      <w:pPr>
        <w:spacing w:after="120"/>
      </w:pPr>
      <w:r>
        <w:rPr>
          <w:rFonts w:ascii="Times New Roman" w:hAnsi="Times New Roman" w:eastAsia="Times New Roman"/>
          <w:sz w:val="24"/>
        </w:rPr>
        <w:t>Third, the Chinese training cohort size (349 patients) is modest, though adequate for the low-complexity models employed (7 effective parameters). Fourth, the West China and Japanese cohorts lacked the rich hematological and biochemical marker panels available in the Chinese training data. Internal exploratory analysis using continuous L1-regularized logistic regression on the full 47-variable Chinese dataset achieved 5-fold cross-validation AUROC of 0.925, suggesting that multi-system biomarker panels could meaningfully improve performance if collected prospectively in external cohorts. Fifth, all three cohorts were retrospectively collected, and the risk tier thresholds have not been prospectively validated. Sixth, formal decision curve analysis was not performed. Seventh, assay-specific calibration differences across institutions could not be directly controlled, though the quantile-based methodology was specifically designed to mitigate this. Eighth, the scorecard was trained without menopause stratification, unlike ROMA; the finding that menopause received zero weight suggests age captured the relevant signal, but explicitly stratified models warrant future investigation. Ninth, all three cohorts are Asian; generalizability to Western, African, or other populations remains to be established.</w:t>
      </w:r>
    </w:p>
    <w:p>
      <w:pPr>
        <w:pStyle w:val="Heading1"/>
        <w:jc w:val="left"/>
      </w:pPr>
      <w:r>
        <w:rPr>
          <w:rFonts w:ascii="Times New Roman" w:hAnsi="Times New Roman" w:eastAsia="Times New Roman"/>
          <w:sz w:val="28"/>
        </w:rPr>
        <w:t>Conclusions</w:t>
      </w:r>
    </w:p>
    <w:p>
      <w:pPr>
        <w:spacing w:after="120"/>
      </w:pPr>
      <w:r>
        <w:rPr>
          <w:rFonts w:ascii="Times New Roman" w:hAnsi="Times New Roman" w:eastAsia="Times New Roman"/>
          <w:sz w:val="24"/>
        </w:rPr>
        <w:t>An integer scorecard using CA125, HE4, Age, and Menopause with quantile binning and L2 logistic regression outperforms ROMA (p=0.002) and tree-based ML models on cross-cohort external validation. The scorecard degrades 4.7% under 30% noise (vs 11.9% for XGBoost) and stratifies patients into six actionable risk tiers. Conservative binning with distribution-aware preprocessing — not model complexity — may be the path to clinical prediction models that generalize.</w:t>
      </w:r>
    </w:p>
    <w:p>
      <w:pPr>
        <w:pStyle w:val="Heading1"/>
        <w:jc w:val="left"/>
      </w:pPr>
      <w:r>
        <w:rPr>
          <w:rFonts w:ascii="Times New Roman" w:hAnsi="Times New Roman" w:eastAsia="Times New Roman"/>
          <w:sz w:val="28"/>
        </w:rPr>
        <w:t>References</w:t>
      </w:r>
    </w:p>
    <w:p>
      <w:pPr>
        <w:spacing w:after="40"/>
      </w:pPr>
      <w:r>
        <w:rPr>
          <w:rFonts w:ascii="Times New Roman" w:hAnsi="Times New Roman"/>
          <w:sz w:val="20"/>
        </w:rPr>
        <w:t>1. Sung H et al. Global Cancer Statistics 2020. CA Cancer J Clin. 2021;71(3):209-249.</w:t>
      </w:r>
    </w:p>
    <w:p>
      <w:pPr>
        <w:spacing w:after="40"/>
      </w:pPr>
      <w:r>
        <w:rPr>
          <w:rFonts w:ascii="Times New Roman" w:hAnsi="Times New Roman"/>
          <w:sz w:val="20"/>
        </w:rPr>
        <w:t>2. Torre LA et al. Ovarian cancer statistics, 2018. CA Cancer J Clin. 2018;68(4):284-296.</w:t>
      </w:r>
    </w:p>
    <w:p>
      <w:pPr>
        <w:spacing w:after="40"/>
      </w:pPr>
      <w:r>
        <w:rPr>
          <w:rFonts w:ascii="Times New Roman" w:hAnsi="Times New Roman"/>
          <w:sz w:val="20"/>
        </w:rPr>
        <w:t>3. Lheureux S et al. Epithelial ovarian cancer. Lancet. 2019;393:1240-1253.</w:t>
      </w:r>
    </w:p>
    <w:p>
      <w:pPr>
        <w:spacing w:after="40"/>
      </w:pPr>
      <w:r>
        <w:rPr>
          <w:rFonts w:ascii="Times New Roman" w:hAnsi="Times New Roman"/>
          <w:sz w:val="20"/>
        </w:rPr>
        <w:t>4. Menon U et al. UKCTOCS long-term follow-up. Lancet. 2021;397:2182-2193.</w:t>
      </w:r>
    </w:p>
    <w:p>
      <w:pPr>
        <w:spacing w:after="40"/>
      </w:pPr>
      <w:r>
        <w:rPr>
          <w:rFonts w:ascii="Times New Roman" w:hAnsi="Times New Roman"/>
          <w:sz w:val="20"/>
        </w:rPr>
        <w:t>5. Jacobs IJ et al. UKCTOCS primary results. Lancet. 2016;387:945-956.</w:t>
      </w:r>
    </w:p>
    <w:p>
      <w:pPr>
        <w:spacing w:after="40"/>
      </w:pPr>
      <w:r>
        <w:rPr>
          <w:rFonts w:ascii="Times New Roman" w:hAnsi="Times New Roman"/>
          <w:sz w:val="20"/>
        </w:rPr>
        <w:t>6. Kaijser J et al. IOTA studies summary. Ultrasound Obstet Gynecol. 2013;41:9-20.</w:t>
      </w:r>
    </w:p>
    <w:p>
      <w:pPr>
        <w:spacing w:after="40"/>
      </w:pPr>
      <w:r>
        <w:rPr>
          <w:rFonts w:ascii="Times New Roman" w:hAnsi="Times New Roman"/>
          <w:sz w:val="20"/>
        </w:rPr>
        <w:t>7. Timmerman D et al. ESGO/ISUOG/IOTA consensus. Int J Gynecol Cancer. 2021;31:961-982.</w:t>
      </w:r>
    </w:p>
    <w:p>
      <w:pPr>
        <w:spacing w:after="40"/>
      </w:pPr>
      <w:r>
        <w:rPr>
          <w:rFonts w:ascii="Times New Roman" w:hAnsi="Times New Roman"/>
          <w:sz w:val="20"/>
        </w:rPr>
        <w:t>8. Bast RC et al. CA125 radioimmunoassay. N Engl J Med. 1983;309:883-887.</w:t>
      </w:r>
    </w:p>
    <w:p>
      <w:pPr>
        <w:spacing w:after="40"/>
      </w:pPr>
      <w:r>
        <w:rPr>
          <w:rFonts w:ascii="Times New Roman" w:hAnsi="Times New Roman"/>
          <w:sz w:val="20"/>
        </w:rPr>
        <w:t>9. Jacobs I, Bast RC. CA125 review. Hum Reprod. 1989;4:1-12.</w:t>
      </w:r>
    </w:p>
    <w:p>
      <w:pPr>
        <w:spacing w:after="40"/>
      </w:pPr>
      <w:r>
        <w:rPr>
          <w:rFonts w:ascii="Times New Roman" w:hAnsi="Times New Roman"/>
          <w:sz w:val="20"/>
        </w:rPr>
        <w:t>10. Hellstrom I et al. HE4 biomarker. Cancer Res. 2003;63:3695-3700.</w:t>
      </w:r>
    </w:p>
    <w:p>
      <w:pPr>
        <w:spacing w:after="40"/>
      </w:pPr>
      <w:r>
        <w:rPr>
          <w:rFonts w:ascii="Times New Roman" w:hAnsi="Times New Roman"/>
          <w:sz w:val="20"/>
        </w:rPr>
        <w:t>11. Drapkin R et al. HE4 characterization. Cancer Res. 2005;65:2162-2169.</w:t>
      </w:r>
    </w:p>
    <w:p>
      <w:pPr>
        <w:spacing w:after="40"/>
      </w:pPr>
      <w:r>
        <w:rPr>
          <w:rFonts w:ascii="Times New Roman" w:hAnsi="Times New Roman"/>
          <w:sz w:val="20"/>
        </w:rPr>
        <w:t>12. Moore RG et al. ROMA algorithm. Gynecol Oncol. 2009;112:40-46.</w:t>
      </w:r>
    </w:p>
    <w:p>
      <w:pPr>
        <w:spacing w:after="40"/>
      </w:pPr>
      <w:r>
        <w:rPr>
          <w:rFonts w:ascii="Times New Roman" w:hAnsi="Times New Roman"/>
          <w:sz w:val="20"/>
        </w:rPr>
        <w:t>13. Moore RG et al. ROMA validation. Obstet Gynecol. 2011;118:280-288.</w:t>
      </w:r>
    </w:p>
    <w:p>
      <w:pPr>
        <w:spacing w:after="40"/>
      </w:pPr>
      <w:r>
        <w:rPr>
          <w:rFonts w:ascii="Times New Roman" w:hAnsi="Times New Roman"/>
          <w:sz w:val="20"/>
        </w:rPr>
        <w:t>14. Van Gorp T et al. HE4 and CA125 prospective validation. Br J Cancer. 2011;104:863-870.</w:t>
      </w:r>
    </w:p>
    <w:p>
      <w:pPr>
        <w:spacing w:after="40"/>
      </w:pPr>
      <w:r>
        <w:rPr>
          <w:rFonts w:ascii="Times New Roman" w:hAnsi="Times New Roman"/>
          <w:sz w:val="20"/>
        </w:rPr>
        <w:t>15. Li F et al. ROMA meta-analysis. BMC Cancer. 2012;12:258.</w:t>
      </w:r>
    </w:p>
    <w:p>
      <w:pPr>
        <w:spacing w:after="40"/>
      </w:pPr>
      <w:r>
        <w:rPr>
          <w:rFonts w:ascii="Times New Roman" w:hAnsi="Times New Roman"/>
          <w:sz w:val="20"/>
        </w:rPr>
        <w:t>16. Dayyani F et al. ROMA meta-analysis. Int J Gynecol Cancer. 2016;26:1586-1593.</w:t>
      </w:r>
    </w:p>
    <w:p>
      <w:pPr>
        <w:spacing w:after="40"/>
      </w:pPr>
      <w:r>
        <w:rPr>
          <w:rFonts w:ascii="Times New Roman" w:hAnsi="Times New Roman"/>
          <w:sz w:val="20"/>
        </w:rPr>
        <w:t>17. Blythe LA, Trivers KF. Inter-platform CA125/HE4 variation. Clin Chem Lab Med. 2010;48:1100-1108.</w:t>
      </w:r>
    </w:p>
    <w:p>
      <w:pPr>
        <w:spacing w:after="40"/>
      </w:pPr>
      <w:r>
        <w:rPr>
          <w:rFonts w:ascii="Times New Roman" w:hAnsi="Times New Roman"/>
          <w:sz w:val="20"/>
        </w:rPr>
        <w:t>18. Molina R et al. HE4 comparison with CA125. Tumour Biol. 2011;32:1087-1095.</w:t>
      </w:r>
    </w:p>
    <w:p>
      <w:pPr>
        <w:spacing w:after="40"/>
      </w:pPr>
      <w:r>
        <w:rPr>
          <w:rFonts w:ascii="Times New Roman" w:hAnsi="Times New Roman"/>
          <w:sz w:val="20"/>
        </w:rPr>
        <w:t>19. Testa A et al. Ovarian cancer diagnostic strategies. Br J Cancer. 2014;111:680-688.</w:t>
      </w:r>
    </w:p>
    <w:p>
      <w:pPr>
        <w:spacing w:after="40"/>
      </w:pPr>
      <w:r>
        <w:rPr>
          <w:rFonts w:ascii="Times New Roman" w:hAnsi="Times New Roman"/>
          <w:sz w:val="20"/>
        </w:rPr>
        <w:t>20. Kawakami E et al. AI for ovarian cancer prediction. Clin Cancer Res. 2019;25:3006-3015.</w:t>
      </w:r>
    </w:p>
    <w:p>
      <w:pPr>
        <w:spacing w:after="40"/>
      </w:pPr>
      <w:r>
        <w:rPr>
          <w:rFonts w:ascii="Times New Roman" w:hAnsi="Times New Roman"/>
          <w:sz w:val="20"/>
        </w:rPr>
        <w:t>21. Lu M et al. ML for ovarian cancer prediction. Int J Med Inform. 2020;141:104195.</w:t>
      </w:r>
    </w:p>
    <w:p>
      <w:pPr>
        <w:spacing w:after="40"/>
      </w:pPr>
      <w:r>
        <w:rPr>
          <w:rFonts w:ascii="Times New Roman" w:hAnsi="Times New Roman"/>
          <w:sz w:val="20"/>
        </w:rPr>
        <w:t>22. Arezzo F et al. ML on gynecological ultrasound. Arch Gynecol Obstet. 2022;306:2143-2150.</w:t>
      </w:r>
    </w:p>
    <w:p>
      <w:pPr>
        <w:spacing w:after="40"/>
      </w:pPr>
      <w:r>
        <w:rPr>
          <w:rFonts w:ascii="Times New Roman" w:hAnsi="Times New Roman"/>
          <w:sz w:val="20"/>
        </w:rPr>
        <w:t>23. Akazawa M, Hashimoto K. AI in ovarian cancer. Anticancer Res. 2021;41:3765-3772.</w:t>
      </w:r>
    </w:p>
    <w:p>
      <w:pPr>
        <w:spacing w:after="40"/>
      </w:pPr>
      <w:r>
        <w:rPr>
          <w:rFonts w:ascii="Times New Roman" w:hAnsi="Times New Roman"/>
          <w:sz w:val="20"/>
        </w:rPr>
        <w:t>24. Topol EJ. High-performance medicine. Nat Med. 2019;25:44-56.</w:t>
      </w:r>
    </w:p>
    <w:p>
      <w:pPr>
        <w:spacing w:after="40"/>
      </w:pPr>
      <w:r>
        <w:rPr>
          <w:rFonts w:ascii="Times New Roman" w:hAnsi="Times New Roman"/>
          <w:sz w:val="20"/>
        </w:rPr>
        <w:t>25. Beam AL, Kohane IS. Big data and ML in healthcare. JAMA. 2018;319:1317-1318.</w:t>
      </w:r>
    </w:p>
    <w:p>
      <w:pPr>
        <w:spacing w:after="40"/>
      </w:pPr>
      <w:r>
        <w:rPr>
          <w:rFonts w:ascii="Times New Roman" w:hAnsi="Times New Roman"/>
          <w:sz w:val="20"/>
        </w:rPr>
        <w:t>26. Kelly CJ et al. Clinical impact challenges with AI. BMC Med. 2019;17:195.</w:t>
      </w:r>
    </w:p>
    <w:p>
      <w:pPr>
        <w:spacing w:after="40"/>
      </w:pPr>
      <w:r>
        <w:rPr>
          <w:rFonts w:ascii="Times New Roman" w:hAnsi="Times New Roman"/>
          <w:sz w:val="20"/>
        </w:rPr>
        <w:t>27. Roberts M et al. ML pitfalls for COVID-19 imaging. Nat Mach Intell. 2021;3:199-217.</w:t>
      </w:r>
    </w:p>
    <w:p>
      <w:pPr>
        <w:spacing w:after="40"/>
      </w:pPr>
      <w:r>
        <w:rPr>
          <w:rFonts w:ascii="Times New Roman" w:hAnsi="Times New Roman"/>
          <w:sz w:val="20"/>
        </w:rPr>
        <w:t>28. Wynants L et al. COVID-19 prediction models review. BMJ. 2020;369:m1328.</w:t>
      </w:r>
    </w:p>
    <w:p>
      <w:pPr>
        <w:spacing w:after="40"/>
      </w:pPr>
      <w:r>
        <w:rPr>
          <w:rFonts w:ascii="Times New Roman" w:hAnsi="Times New Roman"/>
          <w:sz w:val="20"/>
        </w:rPr>
        <w:t>29. Collins GS et al. TRIPOD statement. BMJ. 2015;350:g7594.</w:t>
      </w:r>
    </w:p>
    <w:p>
      <w:pPr>
        <w:spacing w:after="40"/>
      </w:pPr>
      <w:r>
        <w:rPr>
          <w:rFonts w:ascii="Times New Roman" w:hAnsi="Times New Roman"/>
          <w:sz w:val="20"/>
        </w:rPr>
        <w:t>30. Steyerberg EW et al. Prediction model assessment. Epidemiology. 2010;21:128-138.</w:t>
      </w:r>
    </w:p>
    <w:p>
      <w:pPr>
        <w:spacing w:after="40"/>
      </w:pPr>
      <w:r>
        <w:rPr>
          <w:rFonts w:ascii="Times New Roman" w:hAnsi="Times New Roman"/>
          <w:sz w:val="20"/>
        </w:rPr>
        <w:t>31. Ustun B, Rudin C. RiskSLIM scorecards. Mach Learn. 2016;102:349-391.</w:t>
      </w:r>
    </w:p>
    <w:p>
      <w:pPr>
        <w:spacing w:after="40"/>
      </w:pPr>
      <w:r>
        <w:rPr>
          <w:rFonts w:ascii="Times New Roman" w:hAnsi="Times New Roman"/>
          <w:sz w:val="20"/>
        </w:rPr>
        <w:t>32. Ustun B, Rudin C. Optimized risk scores. JMLR. 2019;20(150):1-75.</w:t>
      </w:r>
    </w:p>
    <w:p>
      <w:pPr>
        <w:spacing w:after="40"/>
      </w:pPr>
      <w:r>
        <w:rPr>
          <w:rFonts w:ascii="Times New Roman" w:hAnsi="Times New Roman"/>
          <w:sz w:val="20"/>
        </w:rPr>
        <w:t>33. Rudin C. Stop explaining black boxes. Nat Mach Intell. 2019;1:206-215.</w:t>
      </w:r>
    </w:p>
    <w:p>
      <w:pPr>
        <w:spacing w:after="40"/>
      </w:pPr>
      <w:r>
        <w:rPr>
          <w:rFonts w:ascii="Times New Roman" w:hAnsi="Times New Roman"/>
          <w:sz w:val="20"/>
        </w:rPr>
        <w:t>34. Caruana R et al. Intelligible models for healthcare. KDD. 2015:1721-1730.</w:t>
      </w:r>
    </w:p>
    <w:p>
      <w:pPr>
        <w:spacing w:after="40"/>
      </w:pPr>
      <w:r>
        <w:rPr>
          <w:rFonts w:ascii="Times New Roman" w:hAnsi="Times New Roman"/>
          <w:sz w:val="20"/>
        </w:rPr>
        <w:t>35. Zeng J et al. Simple models vs deep learning. JCO CCI. 2022;6:e2100120.</w:t>
      </w:r>
    </w:p>
    <w:p>
      <w:pPr>
        <w:spacing w:after="40"/>
      </w:pPr>
      <w:r>
        <w:rPr>
          <w:rFonts w:ascii="Times New Roman" w:hAnsi="Times New Roman"/>
          <w:sz w:val="20"/>
        </w:rPr>
        <w:t>36. Knaus WA et al. APACHE II. Crit Care Med. 1985;13:818-829.</w:t>
      </w:r>
    </w:p>
    <w:p>
      <w:pPr>
        <w:spacing w:after="40"/>
      </w:pPr>
      <w:r>
        <w:rPr>
          <w:rFonts w:ascii="Times New Roman" w:hAnsi="Times New Roman"/>
          <w:sz w:val="20"/>
        </w:rPr>
        <w:t>37. Wells PS et al. Wells criteria for PE. Thromb Haemost. 2000;83:416-420.</w:t>
      </w:r>
    </w:p>
    <w:p>
      <w:pPr>
        <w:spacing w:after="40"/>
      </w:pPr>
      <w:r>
        <w:rPr>
          <w:rFonts w:ascii="Times New Roman" w:hAnsi="Times New Roman"/>
          <w:sz w:val="20"/>
        </w:rPr>
        <w:t>38. Lip GY et al. CHA2DS2-VASc. Chest. 2010;137:263-272.</w:t>
      </w:r>
    </w:p>
    <w:p>
      <w:pPr>
        <w:spacing w:after="40"/>
      </w:pPr>
      <w:r>
        <w:rPr>
          <w:rFonts w:ascii="Times New Roman" w:hAnsi="Times New Roman"/>
          <w:sz w:val="20"/>
        </w:rPr>
        <w:t>39. Troyanskaya O et al. KNN imputation. Bioinformatics. 2001;17:520-525.</w:t>
      </w:r>
    </w:p>
    <w:p>
      <w:pPr>
        <w:spacing w:after="40"/>
      </w:pPr>
      <w:r>
        <w:rPr>
          <w:rFonts w:ascii="Times New Roman" w:hAnsi="Times New Roman"/>
          <w:sz w:val="20"/>
        </w:rPr>
        <w:t>40. Bolstad BM et al. Quantile normalization. Bioinformatics. 2003;19:185-193.</w:t>
      </w:r>
    </w:p>
    <w:p>
      <w:pPr>
        <w:spacing w:after="40"/>
      </w:pPr>
      <w:r>
        <w:rPr>
          <w:rFonts w:ascii="Times New Roman" w:hAnsi="Times New Roman"/>
          <w:sz w:val="20"/>
        </w:rPr>
        <w:t>41. Hoerl AE, Kennard RW. Ridge regression. Technometrics. 1970;12:55-67.</w:t>
      </w:r>
    </w:p>
    <w:p>
      <w:pPr>
        <w:spacing w:after="40"/>
      </w:pPr>
      <w:r>
        <w:rPr>
          <w:rFonts w:ascii="Times New Roman" w:hAnsi="Times New Roman"/>
          <w:sz w:val="20"/>
        </w:rPr>
        <w:t>42. Chen T, Guestrin C. XGBoost. KDD. 2016:785-794.</w:t>
      </w:r>
    </w:p>
    <w:p>
      <w:pPr>
        <w:spacing w:after="40"/>
      </w:pPr>
      <w:r>
        <w:rPr>
          <w:rFonts w:ascii="Times New Roman" w:hAnsi="Times New Roman"/>
          <w:sz w:val="20"/>
        </w:rPr>
        <w:t>43. Prokhorenkova L et al. CatBoost. NeurIPS. 2018;31.</w:t>
      </w:r>
    </w:p>
    <w:p>
      <w:pPr>
        <w:spacing w:after="40"/>
      </w:pPr>
      <w:r>
        <w:rPr>
          <w:rFonts w:ascii="Times New Roman" w:hAnsi="Times New Roman"/>
          <w:sz w:val="20"/>
        </w:rPr>
        <w:t>44. Breiman L. Random forests. Mach Learn. 2001;45:5-32.</w:t>
      </w:r>
    </w:p>
    <w:p>
      <w:pPr>
        <w:spacing w:after="40"/>
      </w:pPr>
      <w:r>
        <w:rPr>
          <w:rFonts w:ascii="Times New Roman" w:hAnsi="Times New Roman"/>
          <w:sz w:val="20"/>
        </w:rPr>
        <w:t>45. Fraser CG, Harris EK. Biological variation. Crit Rev Clin Lab Sci. 1989;27:409-437.</w:t>
      </w:r>
    </w:p>
    <w:p>
      <w:pPr>
        <w:spacing w:after="40"/>
      </w:pPr>
      <w:r>
        <w:rPr>
          <w:rFonts w:ascii="Times New Roman" w:hAnsi="Times New Roman"/>
          <w:sz w:val="20"/>
        </w:rPr>
        <w:t>46. Ricos C et al. Biological variation databases. Scand J Clin Lab Invest. 1999;59:491-500.</w:t>
      </w:r>
    </w:p>
    <w:p>
      <w:pPr>
        <w:spacing w:after="40"/>
      </w:pPr>
      <w:r>
        <w:rPr>
          <w:rFonts w:ascii="Times New Roman" w:hAnsi="Times New Roman"/>
          <w:sz w:val="20"/>
        </w:rPr>
        <w:t>47. Efron B, Tibshirani RJ. An Introduction to the Bootstrap. CRC; 1994.</w:t>
      </w:r>
    </w:p>
    <w:p>
      <w:pPr>
        <w:spacing w:after="40"/>
      </w:pPr>
      <w:r>
        <w:rPr>
          <w:rFonts w:ascii="Times New Roman" w:hAnsi="Times New Roman"/>
          <w:sz w:val="20"/>
        </w:rPr>
        <w:t>48. World Medical Association. Declaration of Helsinki. JAMA. 2013;310:2191-2194.</w:t>
      </w:r>
    </w:p>
    <w:p>
      <w:pPr>
        <w:spacing w:after="40"/>
      </w:pPr>
      <w:r>
        <w:rPr>
          <w:rFonts w:ascii="Times New Roman" w:hAnsi="Times New Roman"/>
          <w:sz w:val="20"/>
        </w:rPr>
        <w:t>49. Kurman RJ et al. WHO Classification of Female Reproductive Tumours. IARC; 2014.</w:t>
      </w:r>
    </w:p>
    <w:p>
      <w:pPr>
        <w:spacing w:after="40"/>
      </w:pPr>
      <w:r>
        <w:rPr>
          <w:rFonts w:ascii="Times New Roman" w:hAnsi="Times New Roman"/>
          <w:sz w:val="20"/>
        </w:rPr>
        <w:t>50. Sterne JA et al. Multiple imputation. BMJ. 2009;338:b2393.</w:t>
      </w:r>
    </w:p>
    <w:p>
      <w:pPr>
        <w:spacing w:after="40"/>
      </w:pPr>
      <w:r>
        <w:rPr>
          <w:rFonts w:ascii="Times New Roman" w:hAnsi="Times New Roman"/>
          <w:sz w:val="20"/>
        </w:rPr>
        <w:t>51. Beretta L, Santaniello A. KNN imputation evaluation. BMC Med Inform Decis Mak. 2016;16(S3):74.</w:t>
      </w:r>
    </w:p>
    <w:p>
      <w:pPr>
        <w:spacing w:after="40"/>
      </w:pPr>
      <w:r>
        <w:rPr>
          <w:rFonts w:ascii="Times New Roman" w:hAnsi="Times New Roman"/>
          <w:sz w:val="20"/>
        </w:rPr>
        <w:t>52. Moons KG et al. TRIPOD explanation. Ann Intern Med. 2015;162:W1-73.</w:t>
      </w:r>
    </w:p>
    <w:p>
      <w:pPr>
        <w:spacing w:after="40"/>
      </w:pPr>
      <w:r>
        <w:rPr>
          <w:rFonts w:ascii="Times New Roman" w:hAnsi="Times New Roman"/>
          <w:sz w:val="20"/>
        </w:rPr>
        <w:t>53. Rubin DB. Multiple Imputation for Nonresponse. Wiley; 2004.</w:t>
      </w:r>
    </w:p>
    <w:p>
      <w:pPr>
        <w:spacing w:after="40"/>
      </w:pPr>
      <w:r>
        <w:rPr>
          <w:rFonts w:ascii="Times New Roman" w:hAnsi="Times New Roman"/>
          <w:sz w:val="20"/>
        </w:rPr>
        <w:t>54. Henderson KD et al. Menopause timing predictors. Am J Epidemiol. 2008;167:1287-1294.</w:t>
      </w:r>
    </w:p>
    <w:p>
      <w:pPr>
        <w:spacing w:after="40"/>
      </w:pPr>
      <w:r>
        <w:rPr>
          <w:rFonts w:ascii="Times New Roman" w:hAnsi="Times New Roman"/>
          <w:sz w:val="20"/>
        </w:rPr>
        <w:t>55. Cawley GC, Talbot NLC. Over-fitting in model selection. JMLR. 2010;11:2079-2107.</w:t>
      </w:r>
    </w:p>
    <w:p>
      <w:pPr>
        <w:spacing w:after="40"/>
      </w:pPr>
      <w:r>
        <w:rPr>
          <w:rFonts w:ascii="Times New Roman" w:hAnsi="Times New Roman"/>
          <w:sz w:val="20"/>
        </w:rPr>
        <w:t>56. Tibshirani R. Lasso regression. JRSSB. 1996;58:267-288.</w:t>
      </w:r>
    </w:p>
    <w:p>
      <w:pPr>
        <w:spacing w:after="40"/>
      </w:pPr>
      <w:r>
        <w:rPr>
          <w:rFonts w:ascii="Times New Roman" w:hAnsi="Times New Roman"/>
          <w:sz w:val="20"/>
        </w:rPr>
        <w:t>57. Moons KG et al. Risk prediction external validation. Heart. 2012;98:691-698.</w:t>
      </w:r>
    </w:p>
    <w:p>
      <w:pPr>
        <w:spacing w:after="40"/>
      </w:pPr>
      <w:r>
        <w:rPr>
          <w:rFonts w:ascii="Times New Roman" w:hAnsi="Times New Roman"/>
          <w:sz w:val="20"/>
        </w:rPr>
        <w:t>58. Pedregosa F et al. Scikit-learn. JMLR. 2011;12:2825-2830.</w:t>
      </w:r>
    </w:p>
    <w:p>
      <w:pPr>
        <w:spacing w:after="40"/>
      </w:pPr>
      <w:r>
        <w:rPr>
          <w:rFonts w:ascii="Times New Roman" w:hAnsi="Times New Roman"/>
          <w:sz w:val="20"/>
        </w:rPr>
        <w:t>59. Sturgeon CM et al. NACB tumor marker guidelines. Clin Chem. 2008;54:e11-79.</w:t>
      </w:r>
    </w:p>
    <w:p>
      <w:pPr>
        <w:pStyle w:val="Heading1"/>
        <w:jc w:val="left"/>
      </w:pPr>
      <w:r>
        <w:rPr>
          <w:rFonts w:ascii="Times New Roman" w:hAnsi="Times New Roman" w:eastAsia="Times New Roman"/>
          <w:sz w:val="28"/>
        </w:rPr>
        <w:t>Declarations</w:t>
      </w:r>
    </w:p>
    <w:p>
      <w:pPr>
        <w:pStyle w:val="Heading2"/>
        <w:jc w:val="left"/>
      </w:pPr>
      <w:r>
        <w:rPr>
          <w:rFonts w:ascii="Times New Roman" w:hAnsi="Times New Roman" w:eastAsia="Times New Roman"/>
          <w:sz w:val="26"/>
        </w:rPr>
        <w:t>Ethics approval and consent to participate</w:t>
      </w:r>
    </w:p>
    <w:p>
      <w:pPr>
        <w:spacing w:after="120"/>
      </w:pPr>
      <w:r>
        <w:rPr>
          <w:rFonts w:ascii="Times New Roman" w:hAnsi="Times New Roman" w:eastAsia="Times New Roman"/>
          <w:sz w:val="24"/>
        </w:rPr>
        <w:t>Retrospective study approved by participating hospital IRBs. Data de-identified. Consent waived per institutional policy.</w:t>
      </w:r>
    </w:p>
    <w:p>
      <w:pPr>
        <w:pStyle w:val="Heading2"/>
        <w:jc w:val="left"/>
      </w:pPr>
      <w:r>
        <w:rPr>
          <w:rFonts w:ascii="Times New Roman" w:hAnsi="Times New Roman" w:eastAsia="Times New Roman"/>
          <w:sz w:val="26"/>
        </w:rPr>
        <w:t>Consent for publication</w:t>
      </w:r>
    </w:p>
    <w:p>
      <w:pPr>
        <w:spacing w:after="120"/>
      </w:pPr>
      <w:r>
        <w:rPr>
          <w:rFonts w:ascii="Times New Roman" w:hAnsi="Times New Roman" w:eastAsia="Times New Roman"/>
          <w:sz w:val="24"/>
        </w:rPr>
        <w:t>Not applicable.</w:t>
      </w:r>
    </w:p>
    <w:p>
      <w:pPr>
        <w:pStyle w:val="Heading2"/>
        <w:jc w:val="left"/>
      </w:pPr>
      <w:r>
        <w:rPr>
          <w:rFonts w:ascii="Times New Roman" w:hAnsi="Times New Roman" w:eastAsia="Times New Roman"/>
          <w:sz w:val="26"/>
        </w:rPr>
        <w:t>Availability of data and materials</w:t>
      </w:r>
    </w:p>
    <w:p>
      <w:pPr>
        <w:spacing w:after="120"/>
      </w:pPr>
      <w:r>
        <w:rPr>
          <w:rFonts w:ascii="Times New Roman" w:hAnsi="Times New Roman" w:eastAsia="Times New Roman"/>
          <w:sz w:val="24"/>
        </w:rPr>
        <w:t>Data restricted by patient privacy. Available from corresponding author on reasonable request. Analysis pipeline: https://github.com/angelayaoo/Ovarian-Cancer-RiskSLIM.</w:t>
      </w:r>
    </w:p>
    <w:p>
      <w:pPr>
        <w:pStyle w:val="Heading2"/>
        <w:jc w:val="left"/>
      </w:pPr>
      <w:r>
        <w:rPr>
          <w:rFonts w:ascii="Times New Roman" w:hAnsi="Times New Roman" w:eastAsia="Times New Roman"/>
          <w:sz w:val="26"/>
        </w:rPr>
        <w:t>Competing interests</w:t>
      </w:r>
    </w:p>
    <w:p>
      <w:pPr>
        <w:spacing w:after="120"/>
      </w:pPr>
      <w:r>
        <w:rPr>
          <w:rFonts w:ascii="Times New Roman" w:hAnsi="Times New Roman" w:eastAsia="Times New Roman"/>
          <w:sz w:val="24"/>
        </w:rPr>
        <w:t>None declared.</w:t>
      </w:r>
    </w:p>
    <w:p>
      <w:pPr>
        <w:pStyle w:val="Heading2"/>
        <w:jc w:val="left"/>
      </w:pPr>
      <w:r>
        <w:rPr>
          <w:rFonts w:ascii="Times New Roman" w:hAnsi="Times New Roman" w:eastAsia="Times New Roman"/>
          <w:sz w:val="26"/>
        </w:rPr>
        <w:t>Funding</w:t>
      </w:r>
    </w:p>
    <w:p>
      <w:pPr>
        <w:spacing w:after="120"/>
      </w:pPr>
      <w:r>
        <w:rPr>
          <w:rFonts w:ascii="Times New Roman" w:hAnsi="Times New Roman" w:eastAsia="Times New Roman"/>
          <w:sz w:val="24"/>
        </w:rPr>
        <w:t>[To be completed]</w:t>
      </w:r>
    </w:p>
    <w:p>
      <w:pPr>
        <w:pStyle w:val="Heading2"/>
        <w:jc w:val="left"/>
      </w:pPr>
      <w:r>
        <w:rPr>
          <w:rFonts w:ascii="Times New Roman" w:hAnsi="Times New Roman" w:eastAsia="Times New Roman"/>
          <w:sz w:val="26"/>
        </w:rPr>
        <w:t>Authors' contributions</w:t>
      </w:r>
    </w:p>
    <w:p>
      <w:pPr>
        <w:spacing w:after="120"/>
      </w:pPr>
      <w:r>
        <w:rPr>
          <w:rFonts w:ascii="Times New Roman" w:hAnsi="Times New Roman" w:eastAsia="Times New Roman"/>
          <w:sz w:val="24"/>
        </w:rPr>
        <w:t>[To be completed]</w:t>
      </w:r>
    </w:p>
    <w:p>
      <w:pPr>
        <w:pStyle w:val="Heading2"/>
        <w:jc w:val="left"/>
      </w:pPr>
      <w:r>
        <w:rPr>
          <w:rFonts w:ascii="Times New Roman" w:hAnsi="Times New Roman" w:eastAsia="Times New Roman"/>
          <w:sz w:val="26"/>
        </w:rPr>
        <w:t>Acknowledgements</w:t>
      </w:r>
    </w:p>
    <w:p>
      <w:pPr>
        <w:spacing w:after="120"/>
      </w:pPr>
      <w:r>
        <w:rPr>
          <w:rFonts w:ascii="Times New Roman" w:hAnsi="Times New Roman" w:eastAsia="Times New Roman"/>
          <w:sz w:val="24"/>
        </w:rPr>
        <w:t>We thank clinical staff at participating hospitals for data collection.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