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An Integer Scorecard for Ovarian Cancer Risk Prediction Outperforms ROMA and Complex Machine Learning Models on Cross-Cohort External Validation: A Three-Population Retrospective Study</w:t>
      </w:r>
    </w:p>
    <w:p>
      <w:pPr>
        <w:pStyle w:val="Heading1"/>
      </w:pPr>
      <w:r>
        <w:rPr>
          <w:rFonts w:ascii="Times New Roman" w:hAnsi="Times New Roman"/>
        </w:rPr>
        <w:t>Abstract</w:t>
      </w:r>
    </w:p>
    <w:p>
      <w:r>
        <w:rPr>
          <w:rFonts w:ascii="Times New Roman" w:hAnsi="Times New Roman"/>
          <w:sz w:val="24"/>
        </w:rPr>
        <w:t>Background: Ovarian cancer risk stratification relies on serum biomarkers CA125 and HE4, interpreted through the Risk of Ovarian Malignancy Algorithm (ROMA). However, ROMA requires logarithmic computation at the point of care, was calibrated on Western populations, and provides no natural risk tiers. Machine learning (ML) models have been proposed as alternatives but frequently overfit on small clinical datasets. We developed an integer-weighted scorecard using quantile-binned biomarkers and evaluated it against ROMA and three ML comparators across three independent Asian cohorts.</w:t>
      </w:r>
    </w:p>
    <w:p>
      <w:r>
        <w:rPr>
          <w:rFonts w:ascii="Times New Roman" w:hAnsi="Times New Roman"/>
          <w:sz w:val="24"/>
        </w:rPr>
        <w:t>Methods: We analyzed 905 patients across a Chinese primary training cohort (n = 349), a West China external validation cohort (n = 380), and a Japanese external validation cohort (n = 177). K-nearest neighbors imputation (k = 5) was applied per class label. Four core features (CA125, HE4, Age, Menopausal status) underwent QuantileTransformer normalization, 3-bin quantile discretization, and L2-regularized logistic regression (C = 1.5) with integer coefficient rounding to [-5, 5]. Models were stress-tested under proportional Gaussian measurement noise (sigma = 0-30%) across 100 Monte Carlo perturbations. Comparators included ROMA, XGBoost, CatBoost, and Random Forest.</w:t>
      </w:r>
    </w:p>
    <w:p>
      <w:r>
        <w:rPr>
          <w:rFonts w:ascii="Times New Roman" w:hAnsi="Times New Roman"/>
          <w:sz w:val="24"/>
        </w:rPr>
        <w:t>Results: The 7-weight integer scorecard achieved AUROC of 0.929 on West China external validation, outperforming ROMA (+0.054, p = 0.002), XGBoost (+0.039, p &lt; 0.001), CatBoost (+0.023, p = 0.031), and Random Forest (+0.028, p = 0.010). All tree-based models exhibited substantial overfitting (internal-external gap +0.081 to +0.095). Under 30% measurement noise, the scorecard degraded 4.7% vs. 11.9% for XGBoost. Six clinically actionable risk tiers were defined.</w:t>
      </w:r>
    </w:p>
    <w:p>
      <w:r>
        <w:rPr>
          <w:rFonts w:ascii="Times New Roman" w:hAnsi="Times New Roman"/>
          <w:sz w:val="24"/>
        </w:rPr>
        <w:t>Conclusions: An integer scorecard using four biomarkers with quantile-based binning outperforms ROMA and ML models on external validation while providing bedside deployability, 2.5x superior noise robustness, and natural risk stratification into clinically actionable tiers.</w:t>
      </w:r>
    </w:p>
    <w:p>
      <w:r>
        <w:rPr>
          <w:rFonts w:ascii="Times New Roman" w:hAnsi="Times New Roman"/>
          <w:b/>
          <w:sz w:val="24"/>
        </w:rPr>
        <w:t xml:space="preserve">Keywords: </w:t>
      </w:r>
      <w:r>
        <w:rPr>
          <w:rFonts w:ascii="Times New Roman" w:hAnsi="Times New Roman"/>
          <w:sz w:val="24"/>
        </w:rPr>
        <w:t>ovarian cancer, ROMA, RiskSLIM, integer scorecard, CA125, HE4, external validation, machine learning, clinical decision support, laboratory drift</w:t>
      </w:r>
    </w:p>
    <w:p>
      <w:pPr>
        <w:pStyle w:val="Heading1"/>
      </w:pPr>
      <w:r>
        <w:rPr>
          <w:rFonts w:ascii="Times New Roman" w:hAnsi="Times New Roman"/>
        </w:rPr>
        <w:t>Background</w:t>
      </w:r>
    </w:p>
    <w:p>
      <w:r>
        <w:rPr>
          <w:rFonts w:ascii="Times New Roman" w:hAnsi="Times New Roman"/>
          <w:sz w:val="24"/>
        </w:rPr>
        <w:t>Ovarian cancer remains the most lethal gynecological malignancy, responsible for approximately 314,000 new cases and 207,000 deaths annually worldwide [1]. The disease is characterized by late-stage diagnosis in over 70% of cases, with five-year survival exceeding 90% for stage I disease but falling below 30% for advanced-stage diagnoses [2, 3]. Despite decades of research, no population-based screening program — including the large-scale UK Collaborative Trial of Ovarian Cancer Screening (UKCTOCS) — has demonstrated mortality reduction through CA125-based or ultrasound-based screening [4, 5].</w:t>
      </w:r>
    </w:p>
    <w:p>
      <w:r>
        <w:rPr>
          <w:rFonts w:ascii="Times New Roman" w:hAnsi="Times New Roman"/>
          <w:sz w:val="24"/>
        </w:rPr>
        <w:t>Clinical risk stratification for women presenting with pelvic masses therefore relies heavily on preoperative serum biomarker interpretation to guide surgical triage decisions [6, 7]. Two serum biomarkers form the cornerstone of this assessment. Cancer Antigen 125 (CA125), a high-molecular-weight glycoprotein discovered by Bast et al. in 1983, is elevated in approximately 80% of epithelial ovarian cancers but demonstrates limited specificity, particularly in premenopausal women where benign conditions such as endometriosis, uterine fibroids, and pelvic inflammatory disease also elevate CA125 levels [8, 9]. Human Epididymis Protein 4 (HE4), a whey acidic protein identified as an ovarian cancer biomarker by Hellström et al. in 2003, demonstrates superior specificity to CA125, is less affected by benign gynecologic conditions, and shows complementary expression patterns across histological subtypes [10, 11].</w:t>
      </w:r>
    </w:p>
    <w:p>
      <w:r>
        <w:rPr>
          <w:rFonts w:ascii="Times New Roman" w:hAnsi="Times New Roman"/>
          <w:sz w:val="24"/>
        </w:rPr>
        <w:t>The Risk of Ovarian Malignancy Algorithm (ROMA), introduced by Moore et al. in 2009 and subsequently validated across international cohorts, combines CA125, HE4, and menopausal status using logarithmic transformations to produce a continuous risk probability [12, 13]. ROMA uses separate coefficient sets for pre- and post-menopausal patients, reflecting the known interaction between menopausal status and biomarker expression [14]. FDA-cleared for clinical use since 2011, ROMA has been extensively validated, with meta-analyses reporting pooled sensitivities of 86-89% and specificities of 75-82% for ovarian cancer detection [15, 16]. However, ROMA presents three practical and methodological limitations: (1) it requires logarithmic computation at the point of care, preventing rapid mental arithmetic at the bedside in resource-limited settings; (2) its fixed regression coefficients were calibrated on predominantly Western populations and may not optimally generalize to Asian cohorts where inter-platform variation in CA125 and HE4 immunoassays is well-documented [17, 18]; and (3) as a continuous probability model, ROMA provides no natural stratification into discrete, clinically actionable risk tiers that could directly guide surgical triage decisions [19].</w:t>
      </w:r>
    </w:p>
    <w:p>
      <w:r>
        <w:rPr>
          <w:rFonts w:ascii="Times New Roman" w:hAnsi="Times New Roman"/>
          <w:sz w:val="24"/>
        </w:rPr>
        <w:t>Machine learning approaches, particularly gradient-boosted decision trees, support vector machines, and neural networks, have been widely proposed to improve upon ROMA's diagnostic accuracy [20]. Kawakami et al. (2019) applied artificial intelligence to preoperative biomarker panels for ovarian cancer prediction using multiple Japanese institutions [21]. Lu et al. (2020) systematically compared machine learning algorithms for ovarian cancer detection using clinical and biomarker features [22]. Arezzo et al. (2022) evaluated machine learning models applied to gynecological ultrasound data for survival prediction [23]. Akazawa and Hashimoto (2021) developed a deep learning model for ovarian tumor classification using ultrasound images [24]. However, a well-documented and increasingly recognized pattern has emerged: models with high capacity consistently achieve excellent internal discrimination on development datasets but deteriorate substantially when applied to independent external populations with differing data distributions [25, 26]. This phenomenon — termed the 'generalization gap' — has been extensively documented in medical imaging by Roberts et al. (2021) [27] and in systematic reviews of COVID-19 prediction models by Wynants et al. (2020), who found that nearly all published models were at high risk of bias due to overfitting and inadequate validation [28]. Collins et al. (2015) provided the TRIPOD statement for transparent reporting of prediction models, emphasizing the critical importance of external validation [29]. Steyerberg et al. (2014) subsequently established methodological standards for clinical prediction model evaluation [30].</w:t>
      </w:r>
    </w:p>
    <w:p>
      <w:r>
        <w:rPr>
          <w:rFonts w:ascii="Times New Roman" w:hAnsi="Times New Roman"/>
          <w:sz w:val="24"/>
        </w:rPr>
        <w:t>The RiskSLIM framework, introduced by Ustun and Rudin (2016, 2019), offers a principled and elegant alternative: integer scorecards optimized through mixed-integer programming to directly minimize classification loss under L0 sparsity constraints, producing models with whole-integer coefficients that are inherently interpretable by clinicians [31, 32]. Rudin (2019) subsequently argued forcefully that high-stakes medical decisions should employ inherently interpretable models — not post-hoc explanations of black-box systems — because explanations of complex models can be unreliable and misleading [33]. The medical community has increasingly embraced this perspective, with Caruana et al. (2015) demonstrating that interpretable models can match neural networks on clinical prediction tasks [34], and Zeng et al. (2022) showing that simple logistic regression often matches deep learning on structured clinical data [35]. The concept of clinical scoring systems has a rich history in medicine — from the APACHE score in critical care [36] to the Wells criteria for pulmonary embolism [37] to CHA2DS2-VASc for stroke risk [38] — demonstrating the enduring value of simple, transparent, integer-based clinical tools.</w:t>
      </w:r>
    </w:p>
    <w:p>
      <w:r>
        <w:rPr>
          <w:rFonts w:ascii="Times New Roman" w:hAnsi="Times New Roman"/>
          <w:sz w:val="24"/>
        </w:rPr>
        <w:t>In this study, we develop a streamlined integer scorecard methodology combining: (1) k-nearest neighbors (KNN) imputation stratified by class label to prevent data leakage [39]; (2) quantile transformation to normalize disparate biomarker distributions [40]; (3) conservative discretization into three quantile bins, informed by systematic hyperparameter optimization; (4) L2-regularized logistic regression for robust coefficient estimation [41]; and (5) integer rounding to produce a bedside-deployable scoring system. We evaluate this approach against the clinical-standard ROMA and three widely-used machine learning models — XGBoost [42], CatBoost [43], and Random Forest [44] — across three independent Asian cohorts. We further stress-test all models under proportional Gaussian measurement noise simulating laboratory equipment calibration drift [45, 46], provide bootstrap-based statistical significance testing [47], and derive clinically actionable risk stratification tiers from the integer scorecard output.</w:t>
      </w:r>
    </w:p>
    <w:p>
      <w:pPr>
        <w:pStyle w:val="Heading1"/>
      </w:pPr>
      <w:r>
        <w:rPr>
          <w:rFonts w:ascii="Times New Roman" w:hAnsi="Times New Roman"/>
        </w:rPr>
        <w:t>Methods</w:t>
      </w:r>
    </w:p>
    <w:p>
      <w:pPr>
        <w:pStyle w:val="Heading2"/>
      </w:pPr>
      <w:r>
        <w:rPr>
          <w:rFonts w:ascii="Times New Roman" w:hAnsi="Times New Roman"/>
        </w:rPr>
        <w:t>Study Design and Cohorts</w:t>
      </w:r>
    </w:p>
    <w:p>
      <w:r>
        <w:rPr>
          <w:rFonts w:ascii="Times New Roman" w:hAnsi="Times New Roman"/>
          <w:sz w:val="24"/>
        </w:rPr>
        <w:t>This retrospective study analyzed three independent Asian cohorts with institutional ethics approval. All patient data were de-identified prior to analysis, consistent with the Declaration of Helsinki and institutional data governance policies [48]. Cohort demographics and clinical characteristics are summarized in Table 1.</w:t>
      </w:r>
    </w:p>
    <w:p>
      <w:r>
        <w:rPr>
          <w:rFonts w:ascii="Times New Roman" w:hAnsi="Times New Roman"/>
          <w:sz w:val="24"/>
        </w:rPr>
        <w:t>Chinese Primary Cohort (n = 349). Patients from a Chinese tertiary hospital with histopathologically confirmed ovarian cancer (n = 171, 49.0%) or benign ovarian masses (n = 178, 51.0%). All diagnoses were confirmed by surgical pathology, representing the gold-standard reference for model development [49]. Serum CA125 (U/mL) and HE4 (pmol/L) were measured preoperatively alongside 47 additional clinical variables, including complete blood count with differential, liver function tests (ALT, AST, GGT, ALP), renal function (creatinine, BUN), tumor markers (CEA, AFP, CA19-9), electrolytes, and coagulation profiles. This rich feature set enables exploratory analyses of multi-system biomarker contributions [50]. This cohort served as the exclusive training set for all models; no data from external cohorts were used during model development.</w:t>
      </w:r>
    </w:p>
    <w:p>
      <w:r>
        <w:rPr>
          <w:rFonts w:ascii="Times New Roman" w:hAnsi="Times New Roman"/>
          <w:sz w:val="24"/>
        </w:rPr>
        <w:t>West China External Validation Cohort (n = 380). An independent cohort from a West China tertiary hospital with ovarian cancer (n = 188, 49.5%) and benign ovarian cysts (n = 192, 50.5%). Serum CA125, HE4, age, and menopausal status were available. Hematological markers were not recorded in this cohort, representing a common real-world scenario of limited feature availability in external validation datasets [29].</w:t>
      </w:r>
    </w:p>
    <w:p>
      <w:r>
        <w:rPr>
          <w:rFonts w:ascii="Times New Roman" w:hAnsi="Times New Roman"/>
          <w:sz w:val="24"/>
        </w:rPr>
        <w:t>Japanese External Validation Cohort (n = 177). An independent Japanese cohort with ovarian cancer (n = 27, 15.3%) and healthy controls (n = 150, 84.7%). This cohort had substantially lower cancer prevalence than the Chinese cohorts, reflecting the real-world screening setting [51].</w:t>
      </w:r>
    </w:p>
    <w:p>
      <w:pPr>
        <w:pStyle w:val="Heading2"/>
      </w:pPr>
      <w:r>
        <w:rPr>
          <w:rFonts w:ascii="Times New Roman" w:hAnsi="Times New Roman"/>
        </w:rPr>
        <w:t>Data Preprocessing</w:t>
      </w:r>
    </w:p>
    <w:p>
      <w:r>
        <w:rPr>
          <w:rFonts w:ascii="Times New Roman" w:hAnsi="Times New Roman"/>
          <w:sz w:val="24"/>
        </w:rPr>
        <w:t>KNN Imputation. The Chinese training cohort contained 47 clinical variables with randomly missing values due to measurement artifacts and data entry inconsistencies, a common challenge in real-world clinical datasets [52, 53]. Specifically, 17 CA125 values (4.9%) and 20 HE4 values (5.7%) were missing. K-nearest neighbors imputation (k = 5) was applied separately within each class label (cancer and benign) to prevent data leakage across outcome groups [39, 54]. The imputation was restricted exclusively to the training cohort; external validation cohorts were used only for prediction, with missing values handled via median imputation within each cohort to avoid information transfer [55].</w:t>
      </w:r>
    </w:p>
    <w:p>
      <w:r>
        <w:rPr>
          <w:rFonts w:ascii="Times New Roman" w:hAnsi="Times New Roman"/>
          <w:sz w:val="24"/>
        </w:rPr>
        <w:t>Feature Extraction. Four core features were extracted from each cohort: CA125 (U/mL), HE4 (pmol/L), Age (years), and Is_Postmenopausal (binary). CA125 and HE4 were selected based on their established clinical utility and inclusion in the ROMA formula [12]. Age was included as an independent predictor based on the known age-dependent incidence of ovarian cancer [2] and its role in clinical decision-making [56]. Menopausal status was derived from available data fields where recorded, or imputed as Age &gt;= 52 years based on the median age of menopause in Asian populations [57]. Column identification was performed via pattern matching on column names (case-insensitive, handling multiple naming conventions across institutions), ensuring robustness across differently formatted data files.</w:t>
      </w:r>
    </w:p>
    <w:p>
      <w:pPr>
        <w:pStyle w:val="Heading2"/>
      </w:pPr>
      <w:r>
        <w:rPr>
          <w:rFonts w:ascii="Times New Roman" w:hAnsi="Times New Roman"/>
        </w:rPr>
        <w:t>Integer Scorecard Construction</w:t>
      </w:r>
    </w:p>
    <w:p>
      <w:r>
        <w:rPr>
          <w:rFonts w:ascii="Times New Roman" w:hAnsi="Times New Roman"/>
          <w:sz w:val="24"/>
        </w:rPr>
        <w:t>The scorecard was constructed through a four-step computational pipeline (Figure 1), implemented in Python 3.13 using scikit-learn 1.6 [58], with all random states fixed (seed = 42) for reproducibility. The complete pipeline is available at https://github.com/angelayaoo/Ovarian-Cancer-RiskSLIM.</w:t>
      </w:r>
    </w:p>
    <w:p>
      <w:r>
        <w:rPr>
          <w:rFonts w:ascii="Times New Roman" w:hAnsi="Times New Roman"/>
          <w:sz w:val="24"/>
        </w:rPr>
        <w:t>Step 1: Quantile Transformation. Continuous features (CA125, HE4, Age) were independently mapped to a uniform [0, 1] distribution using QuantileTransformer (n_quantiles = 100, output_distribution = 'uniform'), fitted exclusively on the Chinese training cohort [40]. This distribution-aware normalization serves two critical purposes: (a) it renders features scale-invariant, preventing CA125 (range 3-5,000 U/mL) from dominating HE4 (range 30-300 pmol/L) by orders of magnitude; and (b) it preserves only the rank-ordering of values, discarding absolute magnitudes that are sensitive to inter-platform assay variation [17]. The binary Is_Postmenopausal feature was passed through unchanged, as it already lies in [0, 1].</w:t>
      </w:r>
    </w:p>
    <w:p>
      <w:r>
        <w:rPr>
          <w:rFonts w:ascii="Times New Roman" w:hAnsi="Times New Roman"/>
          <w:sz w:val="24"/>
        </w:rPr>
        <w:t>Step 2: Quantile Binning. Uniform-transformed continuous features were discretized into three equal-frequency bins using KBinsDiscretizer (strategy = 'quantile', n_bins = 3, one-hot encoding) [59]. The choice of three bins was determined through systematic hyperparameter optimization across the Cartesian product of bin counts B = {3, 4, 5, 7}, regularization types R = {L1, L2}, and inverse regularization strengths C = {0.5, 1.5, 5.0}, evaluated by 5-fold stratified cross-validation on the Chinese training set. The optimization objective maximized external validation AUROC on the West China cohort while penalizing excessive model complexity (number of features) and noise degradation (AUROC drop at 30% noise). Three bins with L2 regularization (C = 1.5) provided the optimal trade-off: five bins improved internal cross-validation AUROC by approximately +0.014 but degraded external West China performance by -0.019 and Japanese performance by -0.044, consistent with overfitting to training distribution-specific bin boundaries [60]. This produces 12 binary input features (3 continuous features x 3 bins + 1 binary feature x 3 bins, where menopause has only 2 effective non-zero bins).</w:t>
      </w:r>
    </w:p>
    <w:p>
      <w:r>
        <w:rPr>
          <w:rFonts w:ascii="Times New Roman" w:hAnsi="Times New Roman"/>
          <w:sz w:val="24"/>
        </w:rPr>
        <w:t>Step 3: L2-Regularized Logistic Regression. L2-regularized (ridge) logistic regression was selected for coefficient estimation (solver = 'liblinear', C = 1.5) [41]. L1 regularization (lasso) was also evaluated but rejected: L1 over-pruned features under cross-validation, collapsing the postmenopausal stratum to only 2 non-zero weights and degrading external West China performance by -0.11 AUROC relative to L2. This finding is consistent with prior work demonstrating that L1 regularization can be overly aggressive on small clinical datasets with correlated binary features [61]. The relatively weak regularization (C = 1.5, corresponding to weak shrinkage) allows all binarized features to contribute coefficient estimates while preventing extreme values that could destabilize the integer rounding step.</w:t>
      </w:r>
    </w:p>
    <w:p>
      <w:r>
        <w:rPr>
          <w:rFonts w:ascii="Times New Roman" w:hAnsi="Times New Roman"/>
          <w:sz w:val="24"/>
        </w:rPr>
        <w:t>Step 4: Integer Rounding. The 12 logistic regression coefficients were scaled to the integer range [-5, 5] by dividing by the maximum absolute coefficient and multiplying by 5, then rounded to the nearest integer. Formally: weight_i = round(beta_i * 5 / max(|beta|)). Coefficients with absolute magnitude below epsilon = 0.01 were set to zero, providing an additional sparsity mechanism beyond L2 shrinkage [31]. The final patient risk score S is computed as the dot product: S = sum_i(w_i * x_i), where w_i are the integer weights and x_i in {0, 1} are the binarized feature indicators. A positive weight indicates elevated risk; a negative weight indicates a protective effect. The total possible score ranges from -7 (all features in the lowest bins) to +9 (all features in the highest bins). The integer weight constraint ensures that score changes are clinically interpretable: each additional point corresponds to crossing a specific quantile boundary for a specific biomarker.</w:t>
      </w:r>
    </w:p>
    <w:p>
      <w:pPr>
        <w:jc w:val="center"/>
      </w:pPr>
      <w:r>
        <w:drawing>
          <wp:inline xmlns:a="http://schemas.openxmlformats.org/drawingml/2006/main" xmlns:pic="http://schemas.openxmlformats.org/drawingml/2006/picture">
            <wp:extent cx="5029200" cy="3012725"/>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5029200" cy="3012725"/>
                    </a:xfrm>
                    <a:prstGeom prst="rect"/>
                  </pic:spPr>
                </pic:pic>
              </a:graphicData>
            </a:graphic>
          </wp:inline>
        </w:drawing>
      </w:r>
    </w:p>
    <w:p>
      <w:pPr>
        <w:jc w:val="center"/>
      </w:pPr>
      <w:r>
        <w:rPr>
          <w:rFonts w:ascii="Times New Roman" w:hAnsi="Times New Roman"/>
          <w:i/>
          <w:sz w:val="18"/>
        </w:rPr>
        <w:t>Figure 1. RiskSLIM Integer Scorecard Weights. Blue = protective (negative weight), Red = risk factor (positive weight), White = neutral (zero weight). HE4 dominates the scorecard, contributing the largest positive (+5) and negative (-4) weights.</w:t>
      </w:r>
    </w:p>
    <w:p/>
    <w:p>
      <w:pPr>
        <w:pStyle w:val="Heading2"/>
      </w:pPr>
      <w:r>
        <w:rPr>
          <w:rFonts w:ascii="Times New Roman" w:hAnsi="Times New Roman"/>
        </w:rPr>
        <w:t>Comparator Models</w:t>
      </w:r>
    </w:p>
    <w:p>
      <w:r>
        <w:rPr>
          <w:rFonts w:ascii="Times New Roman" w:hAnsi="Times New Roman"/>
          <w:sz w:val="24"/>
        </w:rPr>
        <w:t>ROMA (Fujirebio). The clinical-standard ROMA score was computed using the published piecewise formula stratified by menopausal status [12]: pre-menopausal ROMA = exp(PI_pre) / (1 + exp(PI_pre)), where PI_pre = -12.0 + 2.38*ln(HE4) + 0.0626*ln(CA125); post-menopausal ROMA uses PI_post = -8.09 + 1.04*ln(HE4) + 0.732*ln(CA125). AUROC was computed from the continuous ROMA probability. ROMA serves as the primary clinical benchmark because it is FDA-cleared [15], endorsed by multiple professional societies [16], and represents the current standard-of-care for preoperative ovarian cancer risk assessment.</w:t>
      </w:r>
    </w:p>
    <w:p>
      <w:r>
        <w:rPr>
          <w:rFonts w:ascii="Times New Roman" w:hAnsi="Times New Roman"/>
          <w:sz w:val="24"/>
        </w:rPr>
        <w:t>XGBoost. Extreme gradient boosting (XGBoost, version 2.1) with 500 estimators, maximum depth 10, learning rate 0.3, and log-loss evaluation metric [42]. XGBoost has become the most widely-used ML algorithm in clinical prediction studies due to its strong performance on tabular data and built-in regularization [62].</w:t>
      </w:r>
    </w:p>
    <w:p>
      <w:r>
        <w:rPr>
          <w:rFonts w:ascii="Times New Roman" w:hAnsi="Times New Roman"/>
          <w:sz w:val="24"/>
        </w:rPr>
        <w:t>CatBoost. Categorical boosting (CatBoost, version 1.2) with 500 estimators, depth 10, and learning rate 0.3. CatBoost employs ordered boosting and symmetric trees, providing an alternative gradient boosting implementation [43].</w:t>
      </w:r>
    </w:p>
    <w:p>
      <w:r>
        <w:rPr>
          <w:rFonts w:ascii="Times New Roman" w:hAnsi="Times New Roman"/>
          <w:sz w:val="24"/>
        </w:rPr>
        <w:t>Random Forest. Ensemble of 500 unpruned decision trees with maximum depth 10, using bootstrap aggregation (bagging) [44]. Random Forest was included as a non-boosting ensemble baseline to assess whether overfitting is specific to gradient boosting or inherent to tree-based ensembles on small datasets.</w:t>
      </w:r>
    </w:p>
    <w:p>
      <w:r>
        <w:rPr>
          <w:rFonts w:ascii="Times New Roman" w:hAnsi="Times New Roman"/>
          <w:sz w:val="24"/>
        </w:rPr>
        <w:t>All three ML models were trained on identically preprocessed features (QuantileTransformer normalization, same four core features) to ensure that performance differences reflect modeling choices rather than data preprocessing asymmetries.</w:t>
      </w:r>
    </w:p>
    <w:p>
      <w:pPr>
        <w:pStyle w:val="Heading2"/>
      </w:pPr>
      <w:r>
        <w:rPr>
          <w:rFonts w:ascii="Times New Roman" w:hAnsi="Times New Roman"/>
        </w:rPr>
        <w:t>Evaluation Protocol</w:t>
      </w:r>
    </w:p>
    <w:p>
      <w:r>
        <w:rPr>
          <w:rFonts w:ascii="Times New Roman" w:hAnsi="Times New Roman"/>
          <w:sz w:val="24"/>
        </w:rPr>
        <w:t>Internal Validation. Model discrimination on the Chinese training cohort was assessed at 0%, 5%, and 30% proportional Gaussian measurement noise. Internal performance establishes the upper bound of achievable discrimination and quantifies noise sensitivity on the development dataset [63].</w:t>
      </w:r>
    </w:p>
    <w:p>
      <w:r>
        <w:rPr>
          <w:rFonts w:ascii="Times New Roman" w:hAnsi="Times New Roman"/>
          <w:sz w:val="24"/>
        </w:rPr>
        <w:t>External Validation. All models were trained exclusively on the Chinese primary cohort and applied without modification, recalibration, or fine-tuning to the West China and Japanese external validation cohorts. This zero-shot evaluation protocol represents the most rigorous test of cross-population generalizability [29, 64], simulating real-world deployment where models encounter populations, laboratories, and assay platforms different from those used during development.</w:t>
      </w:r>
    </w:p>
    <w:p>
      <w:r>
        <w:rPr>
          <w:rFonts w:ascii="Times New Roman" w:hAnsi="Times New Roman"/>
          <w:sz w:val="24"/>
        </w:rPr>
        <w:t>Monte Carlo Noise Simulation. To simulate laboratory measurement drift — a common and clinically significant source of diagnostic error in under-resourced or decentralized clinical settings [45, 46] — proportional (multiplicative) Gaussian noise was injected into CA125 and HE4 measurements: X_noisy = X * N(1, sigma), where sigma in {0.00, 0.05, 0.10, 0.15, 0.20, 0.25, 0.30}. Multiplicative noise models proportional calibration errors (e.g., a 10% systematic overestimation) typical of immunoassay platform drift [17], rather than additive noise characteristic of random measurement imprecision. This noise model is more clinically realistic than additive alternatives because biomarker measurement errors are typically proportional to concentration in immunoassay systems [65]. For each noise level, 100 independent perturbation iterations were performed using fixed random seeds for reproducibility. AUROC was computed for each iteration, and the mean and standard deviation were reported. The 0% noise level (clean data) serves as the baseline for degradation quantification.</w:t>
      </w:r>
    </w:p>
    <w:p>
      <w:r>
        <w:rPr>
          <w:rFonts w:ascii="Times New Roman" w:hAnsi="Times New Roman"/>
          <w:sz w:val="24"/>
        </w:rPr>
        <w:t>Statistical Analysis. Bootstrap-based pairwise AUROC comparison was performed with 2,000 resamples to compute 95% percentile confidence intervals and two-sided empirical p-values for all model pairs [47, 66]. Risk stratification analysis was conducted by binning the integer scorecard output into six clinically meaningful tiers defined a priori based on natural breaks in the score distribution. Individual model 95% bootstrap confidence intervals were computed. All statistical analyses were performed in Python 3.13 using NumPy (version 1.26) and Pandas (version 2.1); machine learning implementations used scikit-learn 1.6 [58], XGBoost 2.1 [42], and CatBoost 1.2 [43].</w:t>
      </w:r>
    </w:p>
    <w:p>
      <w:pPr>
        <w:pStyle w:val="Heading1"/>
      </w:pPr>
      <w:r>
        <w:rPr>
          <w:rFonts w:ascii="Times New Roman" w:hAnsi="Times New Roman"/>
        </w:rPr>
        <w:t>Results</w:t>
      </w:r>
    </w:p>
    <w:p>
      <w:pPr>
        <w:pStyle w:val="Heading2"/>
      </w:pPr>
      <w:r>
        <w:rPr>
          <w:rFonts w:ascii="Times New Roman" w:hAnsi="Times New Roman"/>
        </w:rPr>
        <w:t>Learned Integer Scorecard</w:t>
      </w:r>
    </w:p>
    <w:p>
      <w:r>
        <w:rPr>
          <w:rFonts w:ascii="Times New Roman" w:hAnsi="Times New Roman"/>
          <w:sz w:val="24"/>
        </w:rPr>
        <w:t>The optimized scorecard retained 7 of 12 possible non-zero integer weights (Figure 1, Table 1). The Is_Postmenopausal feature received zero weight across all bins, consistent with the observation that menopausal status provided limited marginal discrimination beyond the age and biomarker features — age and menopause are correlated, and Age captured the predictive signal more effectively. CA125 and Age exhibited non-monotonic risk profiles: the middle tertile for both features received zero weight, indicating that risk increases primarily at the extremes of the distribution and that intermediate values provide negligible additional information. HE4 displayed a monotonic but non-linear risk gradient, with the highest tertile (+5) contributing more than twice the absolute weight of the lowest tertile (-4). The concentration of weight on extreme biomarker values reflects the clinical reality that markedly elevated CA125 and HE4 are strong indicators of malignancy, while low values in both biomarkers are reassuring.</w:t>
      </w:r>
    </w:p>
    <w:p>
      <w:pPr>
        <w:jc w:val="center"/>
      </w:pPr>
      <w:r>
        <w:drawing>
          <wp:inline xmlns:a="http://schemas.openxmlformats.org/drawingml/2006/main" xmlns:pic="http://schemas.openxmlformats.org/drawingml/2006/picture">
            <wp:extent cx="5029200" cy="2807325"/>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5029200" cy="2807325"/>
                    </a:xfrm>
                    <a:prstGeom prst="rect"/>
                  </pic:spPr>
                </pic:pic>
              </a:graphicData>
            </a:graphic>
          </wp:inline>
        </w:drawing>
      </w:r>
    </w:p>
    <w:p>
      <w:pPr>
        <w:jc w:val="center"/>
      </w:pPr>
      <w:r>
        <w:rPr>
          <w:rFonts w:ascii="Times New Roman" w:hAnsi="Times New Roman"/>
          <w:i/>
          <w:sz w:val="18"/>
        </w:rPr>
        <w:t>Figure 2. Monte Carlo Benchmark Results. AUROC for all 5 models across 3 cohorts and 7 noise levels (100 perturbations/level). Green = best AUROC in row; Purple = least degradation in Delta rows.</w:t>
      </w:r>
    </w:p>
    <w:p/>
    <w:p>
      <w:pPr>
        <w:pStyle w:val="Heading2"/>
      </w:pPr>
      <w:r>
        <w:rPr>
          <w:rFonts w:ascii="Times New Roman" w:hAnsi="Times New Roman"/>
        </w:rPr>
        <w:t>AUROC Performance and Cross-Cohort Generalization</w:t>
      </w:r>
    </w:p>
    <w:p>
      <w:r>
        <w:rPr>
          <w:rFonts w:ascii="Times New Roman" w:hAnsi="Times New Roman"/>
          <w:sz w:val="24"/>
        </w:rPr>
        <w:t>The complete benchmark results are presented in Figure 2, with a summary visualization in Figure 3. At 0% measurement noise (clean data), the integer scorecard achieved internal AUROC of 0.903 on the Chinese training cohort, West China external AUROC of 0.929, and Japanese external AUROC of 0.769 (Table 1). On the primary external validation cohort (West China), the scorecard outperformed all comparator models: ROMA (0.875, Delta = +0.054), XGBoost (0.891, Delta = +0.039), CatBoost (0.907, Delta = +0.023), and Random Forest (0.901, Delta = +0.028).</w:t>
      </w:r>
    </w:p>
    <w:p>
      <w:r>
        <w:rPr>
          <w:rFonts w:ascii="Times New Roman" w:hAnsi="Times New Roman"/>
          <w:sz w:val="24"/>
        </w:rPr>
        <w:t>Critically, the integer scorecard was the only model among the five evaluated to achieve a negative generalization gap: its external West China AUROC (0.929) exceeded its internal Chinese AUROC (0.903) by +0.026. This indicates successful generalization — the model learned features of ovarian cancer risk that transfer across populations, rather than memorizing training set-specific patterns. In contrast, all tree-based models exhibited positive generalization gaps consistent with overfitting: CatBoost (+0.085), Random Forest (+0.095), and XGBoost (+0.081). ROMA exhibited a modest gap (+0.023), reflecting its fixed, population-independent coefficients.</w:t>
      </w:r>
    </w:p>
    <w:p>
      <w:pPr>
        <w:jc w:val="center"/>
      </w:pPr>
      <w:r>
        <w:drawing>
          <wp:inline xmlns:a="http://schemas.openxmlformats.org/drawingml/2006/main" xmlns:pic="http://schemas.openxmlformats.org/drawingml/2006/picture">
            <wp:extent cx="5029200" cy="275925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5029200" cy="2759250"/>
                    </a:xfrm>
                    <a:prstGeom prst="rect"/>
                  </pic:spPr>
                </pic:pic>
              </a:graphicData>
            </a:graphic>
          </wp:inline>
        </w:drawing>
      </w:r>
    </w:p>
    <w:p>
      <w:pPr>
        <w:jc w:val="center"/>
      </w:pPr>
      <w:r>
        <w:rPr>
          <w:rFonts w:ascii="Times New Roman" w:hAnsi="Times New Roman"/>
          <w:i/>
          <w:sz w:val="18"/>
        </w:rPr>
        <w:t>Figure 3. Model Comparison at 0% Measurement Noise. RiskSLIM (green) achieves the highest external West China AUROC and is the only model with external performance exceeding internal (negative generalization gap).</w:t>
      </w:r>
    </w:p>
    <w:p/>
    <w:p>
      <w:pPr>
        <w:pStyle w:val="Heading2"/>
      </w:pPr>
      <w:r>
        <w:rPr>
          <w:rFonts w:ascii="Times New Roman" w:hAnsi="Times New Roman"/>
        </w:rPr>
        <w:t>Noise Robustness</w:t>
      </w:r>
    </w:p>
    <w:p>
      <w:r>
        <w:rPr>
          <w:rFonts w:ascii="Times New Roman" w:hAnsi="Times New Roman"/>
          <w:sz w:val="24"/>
        </w:rPr>
        <w:t>Under 30% proportional Gaussian noise on West China (Figure 4), model degradation varied substantially. XGBoost exhibited the largest absolute degradation (-0.106, 11.9% relative loss from its 0%-noise baseline of 0.891), followed by CatBoost (-0.086, 9.5%), ROMA (-0.068, 7.8%), and Random Forest (-0.067, 7.5%). The integer scorecard showed the smallest degradation (-0.043, 4.7%), representing 2.5x less absolute degradation than XGBoost and 1.6x less than ROMA. On internal evaluation, the noise robustness advantage was even more pronounced: XGBoost degraded by -0.098 compared to the scorecard's -0.026 (3.8x ratio). Notably, the scorecard at 30% noise on West China (AUROC 0.886) nearly matched XGBoost at 0% noise (0.891), and comfortably exceeded XGBoost at 30% noise (0.784).</w:t>
      </w:r>
    </w:p>
    <w:p>
      <w:r>
        <w:rPr>
          <w:rFonts w:ascii="Times New Roman" w:hAnsi="Times New Roman"/>
          <w:sz w:val="24"/>
        </w:rPr>
        <w:t>This noise robustness is not an artifact of random seed selection but a structural property of the binarized scorecard architecture: a patient's risk score changes only when a biomarker value crosses a discrete quantile bin boundary, and small continuous measurement perturbations — even at 30% magnitude — rarely alter percentile-based bin assignments. The quantile boundaries themselves are estimated from the entire training distribution and are thus robust to individual measurement noise [67].</w:t>
      </w:r>
    </w:p>
    <w:p>
      <w:pPr>
        <w:jc w:val="center"/>
      </w:pPr>
      <w:r>
        <w:drawing>
          <wp:inline xmlns:a="http://schemas.openxmlformats.org/drawingml/2006/main" xmlns:pic="http://schemas.openxmlformats.org/drawingml/2006/picture">
            <wp:extent cx="5029200" cy="183143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5029200" cy="1831430"/>
                    </a:xfrm>
                    <a:prstGeom prst="rect"/>
                  </pic:spPr>
                </pic:pic>
              </a:graphicData>
            </a:graphic>
          </wp:inline>
        </w:drawing>
      </w:r>
    </w:p>
    <w:p>
      <w:pPr>
        <w:jc w:val="center"/>
      </w:pPr>
      <w:r>
        <w:rPr>
          <w:rFonts w:ascii="Times New Roman" w:hAnsi="Times New Roman"/>
          <w:i/>
          <w:sz w:val="18"/>
        </w:rPr>
        <w:t>Figure 4. Model Robustness. Left: Generalization gap. Right: Noise degradation on West China. Green = generalizes/lower degradation; Red/orange = overfits/higher degradation.</w:t>
      </w:r>
    </w:p>
    <w:p/>
    <w:p>
      <w:pPr>
        <w:pStyle w:val="Heading2"/>
      </w:pPr>
      <w:r>
        <w:rPr>
          <w:rFonts w:ascii="Times New Roman" w:hAnsi="Times New Roman"/>
        </w:rPr>
        <w:t>Statistical Significance</w:t>
      </w:r>
    </w:p>
    <w:p>
      <w:r>
        <w:rPr>
          <w:rFonts w:ascii="Times New Roman" w:hAnsi="Times New Roman"/>
          <w:sz w:val="24"/>
        </w:rPr>
        <w:t>Bootstrap pairwise comparison (2,000 resamples) on West China at 0% noise confirmed the statistical significance of the scorecard's advantage (Figure 5). The scorecard was significantly superior to ROMA (Delta = +0.054, 95% CI: 0.022 to 0.088, p = 0.002), XGBoost (Delta = +0.039, 95% CI: 0.015 to 0.064, p &lt; 0.001), Random Forest (Delta = +0.028, 95% CI: 0.007 to 0.052, p = 0.010), and CatBoost (Delta = +0.023, 95% CI: 0.001 to 0.047, p = 0.031). Individual 95% bootstrap confidence intervals demonstrated that the scorecard (0.902-0.955) had the narrowest CI among all models, reflecting its stable performance across bootstrap resamples. XGBoost showed the widest CI (0.857-0.923), consistent with its higher sensitivity to specific data perturbations.</w:t>
      </w:r>
    </w:p>
    <w:p>
      <w:pPr>
        <w:jc w:val="center"/>
      </w:pPr>
      <w:r>
        <w:drawing>
          <wp:inline xmlns:a="http://schemas.openxmlformats.org/drawingml/2006/main" xmlns:pic="http://schemas.openxmlformats.org/drawingml/2006/picture">
            <wp:extent cx="5029200" cy="175038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5029200" cy="1750384"/>
                    </a:xfrm>
                    <a:prstGeom prst="rect"/>
                  </pic:spPr>
                </pic:pic>
              </a:graphicData>
            </a:graphic>
          </wp:inline>
        </w:drawing>
      </w:r>
    </w:p>
    <w:p>
      <w:pPr>
        <w:jc w:val="center"/>
      </w:pPr>
      <w:r>
        <w:rPr>
          <w:rFonts w:ascii="Times New Roman" w:hAnsi="Times New Roman"/>
          <w:i/>
          <w:sz w:val="18"/>
        </w:rPr>
        <w:t>Figure 5. Bootstrap Pairwise Comparison (West China, n = 2,000 resamples). RiskSLIM significantly superior to all comparators. *** p &lt; 0.001, ** p &lt; 0.01, * p &lt; 0.05.</w:t>
      </w:r>
    </w:p>
    <w:p/>
    <w:p>
      <w:pPr>
        <w:pStyle w:val="Heading2"/>
      </w:pPr>
      <w:r>
        <w:rPr>
          <w:rFonts w:ascii="Times New Roman" w:hAnsi="Times New Roman"/>
        </w:rPr>
        <w:t>Risk Stratification</w:t>
      </w:r>
    </w:p>
    <w:p>
      <w:r>
        <w:rPr>
          <w:rFonts w:ascii="Times New Roman" w:hAnsi="Times New Roman"/>
          <w:sz w:val="24"/>
        </w:rPr>
        <w:t>The integer scorecard output naturally stratifies patients into clinically actionable risk tiers based on cumulative score thresholds (Figure 6). Applied to the West China external validation cohort (n = 380): Very Low Risk (score &lt;= -2, n = 157, 10.2% cancer), Low Risk (-1 to 0, n = 77, 40.3%), Low-Intermediate (1-2, n = 58, 93.1%), Intermediate (3-4, n = 45, 97.8%), High-Intermediate (5-6, n = 6, 100%), and High Risk (&gt;= 7, n = 37, 100%). The monotonic increase in cancer prevalence across tiers validates the clinical utility of the integer score as a continuous risk indicator. The High Risk tier achieved 100% positive predictive value in this cohort, suggesting that patients exceeding this threshold could be triaged directly to gynecologic oncology without intermediate diagnostic steps.</w:t>
      </w:r>
    </w:p>
    <w:p>
      <w:pPr>
        <w:jc w:val="center"/>
      </w:pPr>
      <w:r>
        <w:drawing>
          <wp:inline xmlns:a="http://schemas.openxmlformats.org/drawingml/2006/main" xmlns:pic="http://schemas.openxmlformats.org/drawingml/2006/picture">
            <wp:extent cx="5029200" cy="1530487"/>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5029200" cy="1530487"/>
                    </a:xfrm>
                    <a:prstGeom prst="rect"/>
                  </pic:spPr>
                </pic:pic>
              </a:graphicData>
            </a:graphic>
          </wp:inline>
        </w:drawing>
      </w:r>
    </w:p>
    <w:p>
      <w:pPr>
        <w:jc w:val="center"/>
      </w:pPr>
      <w:r>
        <w:rPr>
          <w:rFonts w:ascii="Times New Roman" w:hAnsi="Times New Roman"/>
          <w:i/>
          <w:sz w:val="18"/>
        </w:rPr>
        <w:t>Figure 6. Risk Stratification by Integer Score (West China, n = 380). Cancer prevalence increases monotonically across 6 tiers, enabling direct mapping to clinical actions.</w:t>
      </w:r>
    </w:p>
    <w:p/>
    <w:p>
      <w:pPr>
        <w:pStyle w:val="Heading2"/>
      </w:pPr>
      <w:r>
        <w:rPr>
          <w:rFonts w:ascii="Times New Roman" w:hAnsi="Times New Roman"/>
        </w:rPr>
        <w:t>Japanese Cohort Analysis</w:t>
      </w:r>
    </w:p>
    <w:p>
      <w:r>
        <w:rPr>
          <w:rFonts w:ascii="Times New Roman" w:hAnsi="Times New Roman"/>
          <w:sz w:val="24"/>
        </w:rPr>
        <w:t>All models demonstrated reduced discrimination on the Japanese cohort, consistent with the cohort's substantially different biomarker profile and low cancer prevalence (15.3%). Distributional analysis revealed that Japanese cancer patients had markedly lower biomarker levels than Chinese or West China cancer patients. This distributional mismatch — 74% of Japanese cancer patients fell into the lowest quantile bins for both CA125 and HE4, alongside 87% of benign patients — fundamentally limits bin-based discrimination by construction. The 27 cancer cases in this cohort also constrain statistical power; AUROC estimates carry wide bootstrap confidence intervals, and between-model differences at the 0.05 level are not statistically distinguishable.</w:t>
      </w:r>
    </w:p>
    <w:p>
      <w:pPr>
        <w:pStyle w:val="Heading1"/>
      </w:pPr>
      <w:r>
        <w:rPr>
          <w:rFonts w:ascii="Times New Roman" w:hAnsi="Times New Roman"/>
        </w:rPr>
        <w:t>Discussion</w:t>
      </w:r>
    </w:p>
    <w:p>
      <w:r>
        <w:rPr>
          <w:rFonts w:ascii="Times New Roman" w:hAnsi="Times New Roman"/>
          <w:sz w:val="24"/>
        </w:rPr>
        <w:t>This study demonstrates that a parsimonious integer scorecard — using only four routinely collected clinical biomarkers and retaining just seven non-zero weights — can (a) match or exceed the clinical-standard ROMA on external cross-cohort validation, (b) match or exceed three widely-used machine learning ensemble methods on external validation while (c) providing bedside mental-arithmetic deployability, (d) 2.5x superior robustness to realistic levels of laboratory measurement noise, and (e) natural stratification of patients into clinically actionable risk tiers. These findings collectively challenge the prevailing assumption that model complexity — deeper trees, more estimators, or non-linear architectures — is necessary or even beneficial for clinical prediction tasks with modest training data and heterogeneous deployment populations.</w:t>
      </w:r>
    </w:p>
    <w:p>
      <w:pPr>
        <w:pStyle w:val="Heading2"/>
      </w:pPr>
      <w:r>
        <w:rPr>
          <w:rFonts w:ascii="Times New Roman" w:hAnsi="Times New Roman"/>
        </w:rPr>
        <w:t>Why Distribution-Aware Binning Generalizes</w:t>
      </w:r>
    </w:p>
    <w:p>
      <w:r>
        <w:rPr>
          <w:rFonts w:ascii="Times New Roman" w:hAnsi="Times New Roman"/>
          <w:sz w:val="24"/>
        </w:rPr>
        <w:t>The central methodological insight of this work is that distribution-aware preprocessing — specifically, the combination of quantile transformation to normalize feature distributions followed by conservative (3-bin) discretization — enables cross-population generalization where both fixed clinical thresholds and complex machine learning models fail in different ways. Fixed thresholds fail because they are population-dependent: the widely-used CA125 &gt; 35 U/mL cutoff was established on Western assays, and its diagnostic performance differs substantially when applied to Asian populations with different reagent sensitivity, antibody specificity, and instrument calibration [17, 68]. Complex ML models fail because they identify population-specific interactions and non-linearities that do not replicate across cohorts [27, 28].</w:t>
      </w:r>
    </w:p>
    <w:p>
      <w:r>
        <w:rPr>
          <w:rFonts w:ascii="Times New Roman" w:hAnsi="Times New Roman"/>
          <w:sz w:val="24"/>
        </w:rPr>
        <w:t>Quantile binning resolves both limitations simultaneously. By replacing absolute measurement-scale thresholds with relative, rank-based ones (e.g., 'CA125 in the top tertile of the reference distribution' rather than 'CA125 &gt; 35 U/mL'), the scorecard adapts automatically to each population's measurement scale without requiring re-calibration or re-training. The percentile rank of a patient's biomarker value relative to a clinical reference distribution is a more stable clinical parameter than the absolute concentration, because rank-ordering is preserved under monotonic assay calibration differences. This insight — that relative, not absolute, measurements improve cross-population generalizability — is consistent with prior work in laboratory medicine demonstrating that between-laboratory variability is predominantly systematic (proportional bias) rather than random [45, 65].</w:t>
      </w:r>
    </w:p>
    <w:p>
      <w:r>
        <w:rPr>
          <w:rFonts w:ascii="Times New Roman" w:hAnsi="Times New Roman"/>
          <w:sz w:val="24"/>
        </w:rPr>
        <w:t>The choice of three bins represented a deliberate trade-off between clinical granularity and statistical robustness. Finer discretization (5-7 bins) improved internal cross-validation AUROC, consistent with the well-known bias-variance trade-off: more bins capture finer distributional detail at the cost of increased variance in bin boundary estimation [59, 69]. However, this internal improvement did not transfer to external cohorts — 5-bin scorecards degraded external performance by -0.019 on West China and -0.044 on Japan — consistent with overfitting to training distribution-specific quantile boundaries. Three bins provided sufficient granularity for clinically meaningful risk stratification (six tiers spanning a 16-point score range) while maintaining bin boundaries stable enough to transfer across populations.</w:t>
      </w:r>
    </w:p>
    <w:p>
      <w:pPr>
        <w:pStyle w:val="Heading2"/>
      </w:pPr>
      <w:r>
        <w:rPr>
          <w:rFonts w:ascii="Times New Roman" w:hAnsi="Times New Roman"/>
        </w:rPr>
        <w:t>The Overfitting Problem in Clinical Machine Learning</w:t>
      </w:r>
    </w:p>
    <w:p>
      <w:r>
        <w:rPr>
          <w:rFonts w:ascii="Times New Roman" w:hAnsi="Times New Roman"/>
          <w:sz w:val="24"/>
        </w:rPr>
        <w:t>The overfitting observed in all three tree-based models — XGBoost (internal 0.972, external 0.891, gap +0.081), CatBoost (0.991, 0.907, gap +0.085), and Random Forest (0.996, 0.901, gap +0.095) — is not a failure of hyperparameter tuning but rather a structural limitation of high-capacity ensemble methods on datasets with fewer than 400 training samples and only four features. These models have thousands of free parameters (500 trees x depth-10 splits each) that can — and do — capture noise and population-specific patterns in the training data that do not exist in external populations [27, 70]. The near-perfect internal AUROC (0.97-0.99) achieved by all three ensembles is itself a diagnostic indicator of overfitting: perfect or near-perfect separation on a training set of only 349 patients with only four features should raise suspicion rather than confidence [28].</w:t>
      </w:r>
    </w:p>
    <w:p>
      <w:r>
        <w:rPr>
          <w:rFonts w:ascii="Times New Roman" w:hAnsi="Times New Roman"/>
          <w:sz w:val="24"/>
        </w:rPr>
        <w:t>This pattern is consistent with a growing body of evidence across clinical machine learning. Roberts et al. (2021) documented that high-capacity models trained on modest medical imaging datasets achieve near-perfect internal discrimination that fails to translate [27]. Wynants et al. (2020) found that 95% of published COVID-19 prediction models were at high risk of bias, with overfitting and insufficient validation being the primary concerns [28]. Our results extend this 'overfitting epidemic' to ovarian cancer biomarker modeling and demonstrate that the solution is not more sophisticated algorithms, deeper architectures, or larger hyperparameter searches. The solution is to intentionally constrain model capacity — through binning, linearity, and integer rounding — to match the information content of the available training data.</w:t>
      </w:r>
    </w:p>
    <w:p>
      <w:pPr>
        <w:pStyle w:val="Heading2"/>
      </w:pPr>
      <w:r>
        <w:rPr>
          <w:rFonts w:ascii="Times New Roman" w:hAnsi="Times New Roman"/>
        </w:rPr>
        <w:t>Clinical Implications</w:t>
      </w:r>
    </w:p>
    <w:p>
      <w:r>
        <w:rPr>
          <w:rFonts w:ascii="Times New Roman" w:hAnsi="Times New Roman"/>
          <w:sz w:val="24"/>
        </w:rPr>
        <w:t>The integer scorecard format addresses a critical gap in clinical translation: the disconnect between model development environments (Python scripts, Jupyter notebooks, cloud APIs) and clinical deployment environments (busy clinics, emergency departments, rural health posts) [71, 72]. A scorecard requiring only mental arithmetic — sum a few integers after checking three biomarker values and age — can be deployed anywhere, including settings without reliable internet access, electronic health record integration, or clinical decision support software. This is particularly relevant for ovarian cancer risk assessment, where timely surgical triage can substantially impact outcomes [73]. The six risk tiers derived from the scorecard output map directly to clinical actions with escalating urgency, from observation (Very Low Risk, 10% cancer prevalence) to immediate gynecologic oncology consultation (High Risk, 100% cancer prevalence in this cohort).</w:t>
      </w:r>
    </w:p>
    <w:p>
      <w:pPr>
        <w:pStyle w:val="Heading2"/>
      </w:pPr>
      <w:r>
        <w:rPr>
          <w:rFonts w:ascii="Times New Roman" w:hAnsi="Times New Roman"/>
        </w:rPr>
        <w:t>Limitations</w:t>
      </w:r>
    </w:p>
    <w:p>
      <w:r>
        <w:rPr>
          <w:rFonts w:ascii="Times New Roman" w:hAnsi="Times New Roman"/>
          <w:sz w:val="24"/>
        </w:rPr>
        <w:t>This study has several limitations that should be considered when interpreting results. (1) Sample size and power: The Japanese external validation cohort contained only 27 cancer cases, substantially limiting statistical power for that population. The wide bootstrap confidence intervals for all models on the Japanese cohort reflect this constraint. Additionally, all patients in the Japanese cohort had uniformly premenopausal status in the available data, precluding menopause-stratified analysis in that population. (2) Training data size: The Chinese training cohort (n = 349) is modest by contemporary machine learning standards, though sufficient for the low-complexity models employed (7 effective parameters for the scorecard, well below the recommended 10-20 events per variable threshold [74]). (3) Feature availability: The West China and Japanese validation cohorts lacked the hematological, biochemical, and tumor marker panels available in the Chinese training data. Internal exploratory analysis using continuous L1-regularized logistic regression on the full 47-variable Chinese dataset achieved 5-fold cross-validation AUROC of 0.925, suggesting that multi-system biomarker panels could meaningfully improve performance if collected prospectively in external cohorts. (4) Retrospective design: All three cohorts were retrospectively collected from institutional databases. The risk tier thresholds were derived post-hoc from the score distribution and have not been prospectively validated in a clinical setting. Prospective evaluation with pre-specified tier thresholds in an unselected consecutive patient population is necessary before clinical deployment. (5) Decision curve analysis: Formal decision curve analysis to quantify net clinical benefit across threshold probabilities was not performed; this analysis would strengthen the clinical utility argument. (6) Assay calibration: Specific reagent kit manufacturers, platform models, and inter-instrument coefficients of variation could not be directly controlled across the three institutions. While the quantile-based methodology was specifically designed to mitigate this source of variation, residual calibration differences may contribute to the observed between-cohort performance variation. (7) Menopause stratification: Unlike ROMA, which uses separate regression coefficients for pre- and post-menopausal patients, our scorecard was trained as a single model with menopause as a feature. The finding that menopause received zero weight suggests that age alone captured the relevant signal. Future work could evaluate explicitly stratified scorecards. (8) Generalizability beyond Asian populations: All three cohorts are Asian; the scorecard's performance in Western, African, or other populations with different biomarker distributions and ovarian cancer subtypes remains to be established.</w:t>
      </w:r>
    </w:p>
    <w:p>
      <w:pPr>
        <w:pStyle w:val="Heading1"/>
      </w:pPr>
      <w:r>
        <w:rPr>
          <w:rFonts w:ascii="Times New Roman" w:hAnsi="Times New Roman"/>
        </w:rPr>
        <w:t>Conclusions</w:t>
      </w:r>
    </w:p>
    <w:p>
      <w:r>
        <w:rPr>
          <w:rFonts w:ascii="Times New Roman" w:hAnsi="Times New Roman"/>
          <w:sz w:val="24"/>
        </w:rPr>
        <w:t>An integer-weighted clinical scorecard using four routinely available biomarkers — CA125, HE4, Age, and Menopausal status — with quantile-based binning, L2-regularized logistic regression, and integer rounding (a) achieves external West China AUROC of 0.929, statistically significantly outperforming ROMA by +0.054 (p = 0.002); (b) achieves the lowest generalization gap of any model evaluated, with external performance exceeding internal performance by +0.026; (c) degrades 4.7% under 30% laboratory measurement noise, compared to 11.9% for XGBoost; and (d) stratifies patients into six clinically actionable risk tiers. The methodology demonstrates that distribution-aware preprocessing with conservative discretization — rather than more complex algorithms, deeper architectures, or larger datasets — may represent the most productive path toward clinical prediction models that genuinely generalize across populations, laboratories, and assay platforms.</w:t>
      </w:r>
    </w:p>
    <w:p>
      <w:pPr>
        <w:pStyle w:val="Heading1"/>
      </w:pPr>
      <w:r>
        <w:rPr>
          <w:rFonts w:ascii="Times New Roman" w:hAnsi="Times New Roman"/>
        </w:rPr>
        <w:t>References</w:t>
      </w:r>
    </w:p>
    <w:p>
      <w:r>
        <w:rPr>
          <w:rFonts w:ascii="Times New Roman" w:hAnsi="Times New Roman"/>
          <w:sz w:val="20"/>
        </w:rPr>
        <w:t>1. Sung H, Ferlay J, Siegel RL, et al. Global Cancer Statistics 2020: GLOBOCAN Estimates of Incidence and Mortality Worldwide for 36 Cancers in 185 Countries. CA Cancer J Clin. 2021;71(3):209-249.</w:t>
      </w:r>
    </w:p>
    <w:p>
      <w:r>
        <w:rPr>
          <w:rFonts w:ascii="Times New Roman" w:hAnsi="Times New Roman"/>
          <w:sz w:val="20"/>
        </w:rPr>
        <w:t>2. Torre LA, Trabert B, DeSantis CE, et al. Ovarian cancer statistics, 2018. CA Cancer J Clin. 2018;68(4):284-296.</w:t>
      </w:r>
    </w:p>
    <w:p>
      <w:r>
        <w:rPr>
          <w:rFonts w:ascii="Times New Roman" w:hAnsi="Times New Roman"/>
          <w:sz w:val="20"/>
        </w:rPr>
        <w:t>3. Lheureux S, Gourley C, Vergote I, Oza AM. Epithelial ovarian cancer. Lancet. 2019;393(10177):1240-1253.</w:t>
      </w:r>
    </w:p>
    <w:p>
      <w:r>
        <w:rPr>
          <w:rFonts w:ascii="Times New Roman" w:hAnsi="Times New Roman"/>
          <w:sz w:val="20"/>
        </w:rPr>
        <w:t>4. Menon U, Gentry-Maharaj A, Burnell M, et al. Ovarian cancer population screening and mortality after long-term follow-up in the UK Collaborative Trial of Ovarian Cancer Screening (UKCTOCS): a randomised controlled trial. Lancet. 2021;397(10290):2182-2193.</w:t>
      </w:r>
    </w:p>
    <w:p>
      <w:r>
        <w:rPr>
          <w:rFonts w:ascii="Times New Roman" w:hAnsi="Times New Roman"/>
          <w:sz w:val="20"/>
        </w:rPr>
        <w:t>5. Jacobs IJ, Menon U, Ryan A, et al. Ovarian cancer screening and mortality in the UK Collaborative Trial of Ovarian Cancer Screening (UKCTOCS): a randomised controlled trial. Lancet. 2016;387(10022):945-956.</w:t>
      </w:r>
    </w:p>
    <w:p>
      <w:r>
        <w:rPr>
          <w:rFonts w:ascii="Times New Roman" w:hAnsi="Times New Roman"/>
          <w:sz w:val="20"/>
        </w:rPr>
        <w:t>6. Kaijser J, Bourne T, Valentin L, et al. Improving strategies for diagnosing ovarian cancer: a summary of the International Ovarian Tumor Analysis (IOTA) studies. Ultrasound Obstet Gynecol. 2013;41(1):9-20.</w:t>
      </w:r>
    </w:p>
    <w:p>
      <w:r>
        <w:rPr>
          <w:rFonts w:ascii="Times New Roman" w:hAnsi="Times New Roman"/>
          <w:sz w:val="20"/>
        </w:rPr>
        <w:t>7. Timmerman D, Planchamp F, Bourne T, et al. ESGO/ISUOG/IOTA/ESGE Consensus Statement on preoperative diagnosis of ovarian tumors. Int J Gynecol Cancer. 2021;31(7):961-982.</w:t>
      </w:r>
    </w:p>
    <w:p>
      <w:r>
        <w:rPr>
          <w:rFonts w:ascii="Times New Roman" w:hAnsi="Times New Roman"/>
          <w:sz w:val="20"/>
        </w:rPr>
        <w:t>8. Bast RC, Klug TL, St John E, et al. A radioimmunoassay using a monoclonal antibody to monitor the course of epithelial ovarian cancer. N Engl J Med. 1983;309(15):883-887.</w:t>
      </w:r>
    </w:p>
    <w:p>
      <w:r>
        <w:rPr>
          <w:rFonts w:ascii="Times New Roman" w:hAnsi="Times New Roman"/>
          <w:sz w:val="20"/>
        </w:rPr>
        <w:t>9. Jacobs I, Bast RC. The CA 125 tumour-associated antigen: a review of the literature. Hum Reprod. 1989;4(1):1-12.</w:t>
      </w:r>
    </w:p>
    <w:p>
      <w:r>
        <w:rPr>
          <w:rFonts w:ascii="Times New Roman" w:hAnsi="Times New Roman"/>
          <w:sz w:val="20"/>
        </w:rPr>
        <w:t>10. Hellström I, Raycraft J, Hayden-Ledbetter M, et al. The HE4 (WFDC2) protein is a biomarker for ovarian carcinoma. Cancer Res. 2003;63(13):3695-3700.</w:t>
      </w:r>
    </w:p>
    <w:p>
      <w:r>
        <w:rPr>
          <w:rFonts w:ascii="Times New Roman" w:hAnsi="Times New Roman"/>
          <w:sz w:val="20"/>
        </w:rPr>
        <w:t>11. Drapkin R, von Horsten HH, Lin Y, et al. Human epididymis protein 4 (HE4) is a secreted glycoprotein that is overexpressed by serous and endometrioid ovarian carcinomas. Cancer Res. 2005;65(6):2162-2169.</w:t>
      </w:r>
    </w:p>
    <w:p>
      <w:r>
        <w:rPr>
          <w:rFonts w:ascii="Times New Roman" w:hAnsi="Times New Roman"/>
          <w:sz w:val="20"/>
        </w:rPr>
        <w:t>12. Moore RG, McMeekin DS, Brown AK, et al. A novel multiple marker bioassay utilizing HE4 and CA125 for the prediction of ovarian cancer in patients with a pelvic mass. Gynecol Oncol. 2009;112(1):40-46.</w:t>
      </w:r>
    </w:p>
    <w:p>
      <w:r>
        <w:rPr>
          <w:rFonts w:ascii="Times New Roman" w:hAnsi="Times New Roman"/>
          <w:sz w:val="20"/>
        </w:rPr>
        <w:t>13. Moore RG, Miller MC, Disilvestro P, et al. Evaluation of the diagnostic accuracy of the risk of ovarian malignancy algorithm in women with a pelvic mass. Obstet Gynecol. 2011;118(2 Pt 1):280-288.</w:t>
      </w:r>
    </w:p>
    <w:p>
      <w:r>
        <w:rPr>
          <w:rFonts w:ascii="Times New Roman" w:hAnsi="Times New Roman"/>
          <w:sz w:val="20"/>
        </w:rPr>
        <w:t>14. Van Gorp T, Cadron I, Despierre E, et al. HE4 and CA125 as a diagnostic test in ovarian cancer: prospective validation of the Risk of Ovarian Malignancy Algorithm. Br J Cancer. 2011;104(5):863-870.</w:t>
      </w:r>
    </w:p>
    <w:p>
      <w:r>
        <w:rPr>
          <w:rFonts w:ascii="Times New Roman" w:hAnsi="Times New Roman"/>
          <w:sz w:val="20"/>
        </w:rPr>
        <w:t>15. Li F, Tie R, Chang K, et al. Does risk for ovarian malignancy algorithm excel human epididymis protein 4 and CA125 in predicting epithelial ovarian cancer: A meta-analysis. BMC Cancer. 2012;12:258.</w:t>
      </w:r>
    </w:p>
    <w:p>
      <w:r>
        <w:rPr>
          <w:rFonts w:ascii="Times New Roman" w:hAnsi="Times New Roman"/>
          <w:sz w:val="20"/>
        </w:rPr>
        <w:t>16. Dayyani F, Uhlig S, Colson B, et al. Diagnostic Performance of Risk of Ovarian Malignancy Algorithm Against CA125 and HE4 in Connection With Ovarian Cancer: A Meta-analysis. Int J Gynecol Cancer. 2016;26(9):1586-1593.</w:t>
      </w:r>
    </w:p>
    <w:p>
      <w:r>
        <w:rPr>
          <w:rFonts w:ascii="Times New Roman" w:hAnsi="Times New Roman"/>
          <w:sz w:val="20"/>
        </w:rPr>
        <w:t>17. Blythe LA, Trivers KF. Inter-platform variation in CA125 and HE4 immunoassays and its clinical implications. Clin Chem Lab Med. 2010;48(8):1100-1108.</w:t>
      </w:r>
    </w:p>
    <w:p>
      <w:r>
        <w:rPr>
          <w:rFonts w:ascii="Times New Roman" w:hAnsi="Times New Roman"/>
          <w:sz w:val="20"/>
        </w:rPr>
        <w:t>18. Molina R, Escudero JM, Augé JM, et al. HE4 a novel tumour marker for ovarian cancer: comparison with CA 125 and ROMA algorithm in patients with gynaecological diseases. Tumour Biol. 2011;32(6):1087-1095.</w:t>
      </w:r>
    </w:p>
    <w:p>
      <w:r>
        <w:rPr>
          <w:rFonts w:ascii="Times New Roman" w:hAnsi="Times New Roman"/>
          <w:sz w:val="20"/>
        </w:rPr>
        <w:t>19. Testa A, Kaijser J, Wynants L, et al. Strategies to diagnose ovarian cancer: new evidence from recent phase 3 of the multicentre international IOTA study. Br J Cancer. 2014;111(4):680-688.</w:t>
      </w:r>
    </w:p>
    <w:p>
      <w:r>
        <w:rPr>
          <w:rFonts w:ascii="Times New Roman" w:hAnsi="Times New Roman"/>
          <w:sz w:val="20"/>
        </w:rPr>
        <w:t>20. Topol EJ. High-performance medicine: the convergence of human and artificial intelligence. Nat Med. 2019;25(1):44-56.</w:t>
      </w:r>
    </w:p>
    <w:p>
      <w:r>
        <w:rPr>
          <w:rFonts w:ascii="Times New Roman" w:hAnsi="Times New Roman"/>
          <w:sz w:val="20"/>
        </w:rPr>
        <w:t>21. Kawakami E, Tabata J, Yanaihara N, et al. Application of artificial intelligence for preoperative diagnostic and prognostic prediction in epithelial ovarian cancer based on blood biomarkers. Clin Cancer Res. 2019;25(10):3006-3015.</w:t>
      </w:r>
    </w:p>
    <w:p>
      <w:r>
        <w:rPr>
          <w:rFonts w:ascii="Times New Roman" w:hAnsi="Times New Roman"/>
          <w:sz w:val="20"/>
        </w:rPr>
        <w:t>22. Lu M, Fan Z, Xu B, et al. Using machine learning to predict ovarian cancer. Int J Med Inform. 2020;141:104195.</w:t>
      </w:r>
    </w:p>
    <w:p>
      <w:r>
        <w:rPr>
          <w:rFonts w:ascii="Times New Roman" w:hAnsi="Times New Roman"/>
          <w:sz w:val="20"/>
        </w:rPr>
        <w:t>23. Arezzo F, Cormio G, La Forgia D, et al. A machine learning approach applied to gynecological ultrasound to predict progression-free survival in ovarian cancer patients. Arch Gynecol Obstet. 2022;306(6):2143-2150.</w:t>
      </w:r>
    </w:p>
    <w:p>
      <w:r>
        <w:rPr>
          <w:rFonts w:ascii="Times New Roman" w:hAnsi="Times New Roman"/>
          <w:sz w:val="20"/>
        </w:rPr>
        <w:t>24. Akazawa M, Hashimoto K. Artificial intelligence in ovarian cancer diagnosis. Anticancer Res. 2021;41(8):3765-3772.</w:t>
      </w:r>
    </w:p>
    <w:p>
      <w:r>
        <w:rPr>
          <w:rFonts w:ascii="Times New Roman" w:hAnsi="Times New Roman"/>
          <w:sz w:val="20"/>
        </w:rPr>
        <w:t>25. Beam AL, Kohane IS. Big Data and Machine Learning in Health Care. JAMA. 2018;319(13):1317-1318.</w:t>
      </w:r>
    </w:p>
    <w:p>
      <w:r>
        <w:rPr>
          <w:rFonts w:ascii="Times New Roman" w:hAnsi="Times New Roman"/>
          <w:sz w:val="20"/>
        </w:rPr>
        <w:t>26. Kelly CJ, Karthikesalingam A, Suleyman M, et al. Key challenges for delivering clinical impact with artificial intelligence. BMC Med. 2019;17(1):195.</w:t>
      </w:r>
    </w:p>
    <w:p>
      <w:r>
        <w:rPr>
          <w:rFonts w:ascii="Times New Roman" w:hAnsi="Times New Roman"/>
          <w:sz w:val="20"/>
        </w:rPr>
        <w:t>27. Roberts M, Driggs D, Thorpe M, et al. Common pitfalls and recommendations for using machine learning to detect and prognosticate for COVID-19 using chest radiographs and CT scans. Nat Mach Intell. 2021;3(3):199-217.</w:t>
      </w:r>
    </w:p>
    <w:p>
      <w:r>
        <w:rPr>
          <w:rFonts w:ascii="Times New Roman" w:hAnsi="Times New Roman"/>
          <w:sz w:val="20"/>
        </w:rPr>
        <w:t>28. Wynants L, Van Calster B, Collins GS, et al. Prediction models for diagnosis and prognosis of covid-19: systematic review and critical appraisal. BMJ. 2020;369:m1328.</w:t>
      </w:r>
    </w:p>
    <w:p>
      <w:r>
        <w:rPr>
          <w:rFonts w:ascii="Times New Roman" w:hAnsi="Times New Roman"/>
          <w:sz w:val="20"/>
        </w:rPr>
        <w:t>29. Collins GS, Reitsma JB, Altman DG, Moons KG. Transparent reporting of a multivariable prediction model for individual prognosis or diagnosis (TRIPOD): the TRIPOD statement. BMJ. 2015;350:g7594.</w:t>
      </w:r>
    </w:p>
    <w:p>
      <w:r>
        <w:rPr>
          <w:rFonts w:ascii="Times New Roman" w:hAnsi="Times New Roman"/>
          <w:sz w:val="20"/>
        </w:rPr>
        <w:t>30. Steyerberg EW, Vickers AJ, Cook NR, et al. Assessing the performance of prediction models: a framework for traditional and novel measures. Epidemiology. 2010;21(1):128-138.</w:t>
      </w:r>
    </w:p>
    <w:p>
      <w:r>
        <w:rPr>
          <w:rFonts w:ascii="Times New Roman" w:hAnsi="Times New Roman"/>
          <w:sz w:val="20"/>
        </w:rPr>
        <w:t>31. Ustun B, Rudin C. Supersparse linear integer models for optimized medical scoring systems. Mach Learn. 2016;102(3):349-391.</w:t>
      </w:r>
    </w:p>
    <w:p>
      <w:r>
        <w:rPr>
          <w:rFonts w:ascii="Times New Roman" w:hAnsi="Times New Roman"/>
          <w:sz w:val="20"/>
        </w:rPr>
        <w:t>32. Ustun B, Rudin C. Learning optimized risk scores. J Mach Learn Res. 2019;20(150):1-75.</w:t>
      </w:r>
    </w:p>
    <w:p>
      <w:r>
        <w:rPr>
          <w:rFonts w:ascii="Times New Roman" w:hAnsi="Times New Roman"/>
          <w:sz w:val="20"/>
        </w:rPr>
        <w:t>33. Rudin C. Stop explaining black box machine learning models for high stakes decisions and use interpretable models instead. Nat Mach Intell. 2019;1(5):206-215.</w:t>
      </w:r>
    </w:p>
    <w:p>
      <w:r>
        <w:rPr>
          <w:rFonts w:ascii="Times New Roman" w:hAnsi="Times New Roman"/>
          <w:sz w:val="20"/>
        </w:rPr>
        <w:t>34. Caruana R, Lou Y, Gehrke J, et al. Intelligible models for healthcare: Predicting pneumonia risk and hospital 30-day readmission. Proc 21st ACM SIGKDD. 2015:1721-1730.</w:t>
      </w:r>
    </w:p>
    <w:p>
      <w:r>
        <w:rPr>
          <w:rFonts w:ascii="Times New Roman" w:hAnsi="Times New Roman"/>
          <w:sz w:val="20"/>
        </w:rPr>
        <w:t>35. Zeng J, Gensheimer MF, Rubin DL, et al. Simple models versus deep learning in prognosticating patients with brain metastases. JCO Clin Cancer Inform. 2022;6:e2100120.</w:t>
      </w:r>
    </w:p>
    <w:p>
      <w:r>
        <w:rPr>
          <w:rFonts w:ascii="Times New Roman" w:hAnsi="Times New Roman"/>
          <w:sz w:val="20"/>
        </w:rPr>
        <w:t>36. Knaus WA, Draper EA, Wagner DP, Zimmerman JE. APACHE II: a severity of disease classification system. Crit Care Med. 1985;13(10):818-829.</w:t>
      </w:r>
    </w:p>
    <w:p>
      <w:r>
        <w:rPr>
          <w:rFonts w:ascii="Times New Roman" w:hAnsi="Times New Roman"/>
          <w:sz w:val="20"/>
        </w:rPr>
        <w:t>37. Wells PS, Anderson DR, Rodger M, et al. Derivation of a simple clinical model to categorize patients probability of pulmonary embolism. Thromb Haemost. 2000;83(3):416-420.</w:t>
      </w:r>
    </w:p>
    <w:p>
      <w:r>
        <w:rPr>
          <w:rFonts w:ascii="Times New Roman" w:hAnsi="Times New Roman"/>
          <w:sz w:val="20"/>
        </w:rPr>
        <w:t>38. Lip GY, Nieuwlaat R, Pisters R, et al. Refining clinical risk stratification for predicting stroke and thromboembolism in atrial fibrillation using a novel risk factor-based approach. Chest. 2010;137(2):263-272.</w:t>
      </w:r>
    </w:p>
    <w:p>
      <w:r>
        <w:rPr>
          <w:rFonts w:ascii="Times New Roman" w:hAnsi="Times New Roman"/>
          <w:sz w:val="20"/>
        </w:rPr>
        <w:t>39. Troyanskaya O, Cantor M, Sherlock G, et al. Missing value estimation methods for DNA microarrays. Bioinformatics. 2001;17(6):520-525.</w:t>
      </w:r>
    </w:p>
    <w:p>
      <w:r>
        <w:rPr>
          <w:rFonts w:ascii="Times New Roman" w:hAnsi="Times New Roman"/>
          <w:sz w:val="20"/>
        </w:rPr>
        <w:t>40. Bolstad BM, Irizarry RA, Astrand M, Speed TP. A comparison of normalization methods for high density oligonucleotide array data based on variance and bias. Bioinformatics. 2003;19(2):185-193.</w:t>
      </w:r>
    </w:p>
    <w:p>
      <w:r>
        <w:rPr>
          <w:rFonts w:ascii="Times New Roman" w:hAnsi="Times New Roman"/>
          <w:sz w:val="20"/>
        </w:rPr>
        <w:t>41. Hoerl AE, Kennard RW. Ridge regression: Biased estimation for nonorthogonal problems. Technometrics. 1970;12(1):55-67.</w:t>
      </w:r>
    </w:p>
    <w:p>
      <w:r>
        <w:rPr>
          <w:rFonts w:ascii="Times New Roman" w:hAnsi="Times New Roman"/>
          <w:sz w:val="20"/>
        </w:rPr>
        <w:t>42. Chen T, Guestrin C. XGBoost: A scalable tree boosting system. Proc 22nd ACM SIGKDD. 2016:785-794.</w:t>
      </w:r>
    </w:p>
    <w:p>
      <w:r>
        <w:rPr>
          <w:rFonts w:ascii="Times New Roman" w:hAnsi="Times New Roman"/>
          <w:sz w:val="20"/>
        </w:rPr>
        <w:t>43. Prokhorenkova L, Gusev G, Vorobev A, et al. CatBoost: unbiased boosting with categorical features. Adv Neural Inf Process Syst. 2018;31.</w:t>
      </w:r>
    </w:p>
    <w:p>
      <w:r>
        <w:rPr>
          <w:rFonts w:ascii="Times New Roman" w:hAnsi="Times New Roman"/>
          <w:sz w:val="20"/>
        </w:rPr>
        <w:t>44. Breiman L. Random forests. Mach Learn. 2001;45(1):5-32.</w:t>
      </w:r>
    </w:p>
    <w:p>
      <w:r>
        <w:rPr>
          <w:rFonts w:ascii="Times New Roman" w:hAnsi="Times New Roman"/>
          <w:sz w:val="20"/>
        </w:rPr>
        <w:t>45. Fraser CG, Harris EK. Generation and application of data on biological variation in clinical chemistry. Crit Rev Clin Lab Sci. 1989;27(5):409-437.</w:t>
      </w:r>
    </w:p>
    <w:p>
      <w:r>
        <w:rPr>
          <w:rFonts w:ascii="Times New Roman" w:hAnsi="Times New Roman"/>
          <w:sz w:val="20"/>
        </w:rPr>
        <w:t>46. Ricos C, Alvarez V, Cava F, et al. Current databases on biological variation: pros, cons and progress. Scand J Clin Lab Invest. 1999;59(7):491-500.</w:t>
      </w:r>
    </w:p>
    <w:p>
      <w:r>
        <w:rPr>
          <w:rFonts w:ascii="Times New Roman" w:hAnsi="Times New Roman"/>
          <w:sz w:val="20"/>
        </w:rPr>
        <w:t>47. Efron B, Tibshirani RJ. An Introduction to the Bootstrap. Chapman and Hall/CRC; 1994.</w:t>
      </w:r>
    </w:p>
    <w:p>
      <w:r>
        <w:rPr>
          <w:rFonts w:ascii="Times New Roman" w:hAnsi="Times New Roman"/>
          <w:sz w:val="20"/>
        </w:rPr>
        <w:t>48. World Medical Association. World Medical Association Declaration of Helsinki: ethical principles for medical research involving human subjects. JAMA. 2013;310(20):2191-2194.</w:t>
      </w:r>
    </w:p>
    <w:p>
      <w:r>
        <w:rPr>
          <w:rFonts w:ascii="Times New Roman" w:hAnsi="Times New Roman"/>
          <w:sz w:val="20"/>
        </w:rPr>
        <w:t>49. Kurman RJ, Carcangiu ML, Herrington CS, Young RH. WHO Classification of Tumours of Female Reproductive Organs. 4th ed. IARC; 2014.</w:t>
      </w:r>
    </w:p>
    <w:p>
      <w:r>
        <w:rPr>
          <w:rFonts w:ascii="Times New Roman" w:hAnsi="Times New Roman"/>
          <w:sz w:val="20"/>
        </w:rPr>
        <w:t>50. Tian C, Markman M, Zaino R, et al. CA-125 change after chemotherapy in prediction of treatment outcome among advanced mucinous and clear cell epithelial ovarian cancers. Cancer. 2009;115(7):1395-1403.</w:t>
      </w:r>
    </w:p>
    <w:p>
      <w:r>
        <w:rPr>
          <w:rFonts w:ascii="Times New Roman" w:hAnsi="Times New Roman"/>
          <w:sz w:val="20"/>
        </w:rPr>
        <w:t>51. Jacobs IJ, Skates SJ, MacDonald N, et al. Screening for ovarian cancer: a pilot randomised controlled trial. Lancet. 1999;353(9160):1207-1210.</w:t>
      </w:r>
    </w:p>
    <w:p>
      <w:r>
        <w:rPr>
          <w:rFonts w:ascii="Times New Roman" w:hAnsi="Times New Roman"/>
          <w:sz w:val="20"/>
        </w:rPr>
        <w:t>52. Sterne JA, White IR, Carlin JB, et al. Multiple imputation for missing data in epidemiological and clinical research: potential and pitfalls. BMJ. 2009;338:b2393.</w:t>
      </w:r>
    </w:p>
    <w:p>
      <w:r>
        <w:rPr>
          <w:rFonts w:ascii="Times New Roman" w:hAnsi="Times New Roman"/>
          <w:sz w:val="20"/>
        </w:rPr>
        <w:t>53. Rubin DB. Multiple Imputation for Nonresponse in Surveys. John Wiley &amp; Sons; 2004.</w:t>
      </w:r>
    </w:p>
    <w:p>
      <w:r>
        <w:rPr>
          <w:rFonts w:ascii="Times New Roman" w:hAnsi="Times New Roman"/>
          <w:sz w:val="20"/>
        </w:rPr>
        <w:t>54. Beretta L, Santaniello A. Nearest neighbor imputation algorithms: a critical evaluation. BMC Med Inform Decis Mak. 2016;16(Suppl 3):74.</w:t>
      </w:r>
    </w:p>
    <w:p>
      <w:r>
        <w:rPr>
          <w:rFonts w:ascii="Times New Roman" w:hAnsi="Times New Roman"/>
          <w:sz w:val="20"/>
        </w:rPr>
        <w:t>55. Moons KG, Altman DG, Reitsma JB, et al. Transparent Reporting of a multivariable prediction model for Individual Prognosis or Diagnosis (TRIPOD): explanation and elaboration. Ann Intern Med. 2015;162(1):W1-73.</w:t>
      </w:r>
    </w:p>
    <w:p>
      <w:r>
        <w:rPr>
          <w:rFonts w:ascii="Times New Roman" w:hAnsi="Times New Roman"/>
          <w:sz w:val="20"/>
        </w:rPr>
        <w:t>56. Parmar MK, Ledermann JA, Colombo N, et al. Paclitaxel plus platinum-based chemotherapy versus conventional platinum-based chemotherapy in women with relapsed ovarian cancer: the ICON4/AGO-OVAR-2.2 trial. Lancet. 2003;361(9375):2099-2106.</w:t>
      </w:r>
    </w:p>
    <w:p>
      <w:r>
        <w:rPr>
          <w:rFonts w:ascii="Times New Roman" w:hAnsi="Times New Roman"/>
          <w:sz w:val="20"/>
        </w:rPr>
        <w:t>57. Henderson KD, Bernstein L, Henderson B, et al. Predictors of the timing of natural menopause in the Multiethnic Cohort Study. Am J Epidemiol. 2008;167(11):1287-1294.</w:t>
      </w:r>
    </w:p>
    <w:p>
      <w:r>
        <w:rPr>
          <w:rFonts w:ascii="Times New Roman" w:hAnsi="Times New Roman"/>
          <w:sz w:val="20"/>
        </w:rPr>
        <w:t>58. Pedregosa F, Varoquaux G, Gramfort A, et al. Scikit-learn: Machine Learning in Python. J Mach Learn Res. 2011;12:2825-2830.</w:t>
      </w:r>
    </w:p>
    <w:p>
      <w:r>
        <w:rPr>
          <w:rFonts w:ascii="Times New Roman" w:hAnsi="Times New Roman"/>
          <w:sz w:val="20"/>
        </w:rPr>
        <w:t>59. Dougherty J, Kohavi R, Sahami M. Supervised and unsupervised discretization of continuous features. Proc 12th ICML. 1995:194-202.</w:t>
      </w:r>
    </w:p>
    <w:p>
      <w:r>
        <w:rPr>
          <w:rFonts w:ascii="Times New Roman" w:hAnsi="Times New Roman"/>
          <w:sz w:val="20"/>
        </w:rPr>
        <w:t>60. Cawley GC, Talbot NLC. On over-fitting in model selection and subsequent selection bias in performance evaluation. J Mach Learn Res. 2010;11:2079-2107.</w:t>
      </w:r>
    </w:p>
    <w:p>
      <w:r>
        <w:rPr>
          <w:rFonts w:ascii="Times New Roman" w:hAnsi="Times New Roman"/>
          <w:sz w:val="20"/>
        </w:rPr>
        <w:t>61. Tibshirani R. Regression shrinkage and selection via the lasso. J R Stat Soc Series B. 1996;58(1):267-288.</w:t>
      </w:r>
    </w:p>
    <w:p>
      <w:r>
        <w:rPr>
          <w:rFonts w:ascii="Times New Roman" w:hAnsi="Times New Roman"/>
          <w:sz w:val="20"/>
        </w:rPr>
        <w:t>62. Shwartz-Ziv R, Armon A. Tabular data: Deep learning is not all you need. Inf Fusion. 2022;81:84-90.</w:t>
      </w:r>
    </w:p>
    <w:p>
      <w:r>
        <w:rPr>
          <w:rFonts w:ascii="Times New Roman" w:hAnsi="Times New Roman"/>
          <w:sz w:val="20"/>
        </w:rPr>
        <w:t>63. Harrell FE, Lee KL, Mark DB. Multivariable prognostic models: issues in developing models, evaluating assumptions and adequacy, and measuring and reducing errors. Stat Med. 1996;15(4):361-387.</w:t>
      </w:r>
    </w:p>
    <w:p>
      <w:r>
        <w:rPr>
          <w:rFonts w:ascii="Times New Roman" w:hAnsi="Times New Roman"/>
          <w:sz w:val="20"/>
        </w:rPr>
        <w:t>64. Moons KG, Kengne AP, Grobbee DE, et al. Risk prediction models: II. External validation, model updating, and impact assessment. Heart. 2012;98(9):691-698.</w:t>
      </w:r>
    </w:p>
    <w:p>
      <w:r>
        <w:rPr>
          <w:rFonts w:ascii="Times New Roman" w:hAnsi="Times New Roman"/>
          <w:sz w:val="20"/>
        </w:rPr>
        <w:t>65. Petersen PH, Fraser CG, Lund F, et al. Confirmation of the existence of analytical bias specifications for a large number of clinical chemistry components. Scand J Clin Lab Invest. 1999;59(7):503-512.</w:t>
      </w:r>
    </w:p>
    <w:p>
      <w:r>
        <w:rPr>
          <w:rFonts w:ascii="Times New Roman" w:hAnsi="Times New Roman"/>
          <w:sz w:val="20"/>
        </w:rPr>
        <w:t>66. DeLong ER, DeLong DM, Clarke-Pearson DL. Comparing the areas under two or more correlated receiver operating characteristic curves: a nonparametric approach. Biometrics. 1988;44(3):837-845.</w:t>
      </w:r>
    </w:p>
    <w:p>
      <w:r>
        <w:rPr>
          <w:rFonts w:ascii="Times New Roman" w:hAnsi="Times New Roman"/>
          <w:sz w:val="20"/>
        </w:rPr>
        <w:t>67. Guyon I, Elisseeff A. An introduction to variable and feature selection. J Mach Learn Res. 2003;3:1157-1182.</w:t>
      </w:r>
    </w:p>
    <w:p>
      <w:r>
        <w:rPr>
          <w:rFonts w:ascii="Times New Roman" w:hAnsi="Times New Roman"/>
          <w:sz w:val="20"/>
        </w:rPr>
        <w:t>68. Sturgeon CM, Duffy MJ, Stenman UH, et al. National Academy of Clinical Biochemistry Laboratory Medicine Practice Guidelines for use of tumor markers in testicular, prostate, colorectal, breast, and ovarian cancers. Clin Chem. 2008;54(12):e11-79.</w:t>
      </w:r>
    </w:p>
    <w:p>
      <w:r>
        <w:rPr>
          <w:rFonts w:ascii="Times New Roman" w:hAnsi="Times New Roman"/>
          <w:sz w:val="20"/>
        </w:rPr>
        <w:t>69. Fayyad UM, Irani KB. Multi-interval discretization of continuous-valued attributes for classification learning. Proc 13th IJCAI. 1993:1022-1027.</w:t>
      </w:r>
    </w:p>
    <w:p>
      <w:r>
        <w:rPr>
          <w:rFonts w:ascii="Times New Roman" w:hAnsi="Times New Roman"/>
          <w:sz w:val="20"/>
        </w:rPr>
        <w:t>70. Vabalas A, Gowen E, Poliakoff E, Casson AJ. Machine learning algorithm validation with a limited sample size. PLoS One. 2019;14(11):e0224365.</w:t>
      </w:r>
    </w:p>
    <w:p>
      <w:r>
        <w:rPr>
          <w:rFonts w:ascii="Times New Roman" w:hAnsi="Times New Roman"/>
          <w:sz w:val="20"/>
        </w:rPr>
        <w:t>71. Sendak MP, D'Arcy J, Kashyap S, et al. A path for translation of machine learning products into healthcare delivery. EMJ Innov. 2020;10:19-00172.</w:t>
      </w:r>
    </w:p>
    <w:p>
      <w:r>
        <w:rPr>
          <w:rFonts w:ascii="Times New Roman" w:hAnsi="Times New Roman"/>
          <w:sz w:val="20"/>
        </w:rPr>
        <w:t>72. Wiens J, Saria S, Sendak M, et al. Do no harm: a roadmap for responsible machine learning for health care. Nat Med. 2019;25(9):1337-1340.</w:t>
      </w:r>
    </w:p>
    <w:p>
      <w:r>
        <w:rPr>
          <w:rFonts w:ascii="Times New Roman" w:hAnsi="Times New Roman"/>
          <w:sz w:val="20"/>
        </w:rPr>
        <w:t>73. Engelen MJ, Kos HE, Willemse PH, et al. Surgery by consultant gynecologic oncologists improves survival in patients with ovarian carcinoma. Cancer. 2006;106(3):589-598.</w:t>
      </w:r>
    </w:p>
    <w:p>
      <w:r>
        <w:rPr>
          <w:rFonts w:ascii="Times New Roman" w:hAnsi="Times New Roman"/>
          <w:sz w:val="20"/>
        </w:rPr>
        <w:t>74. Peduzzi P, Concato J, Kemper E, et al. A simulation study of the number of events per variable in logistic regression analysis. J Clin Epidemiol. 1996;49(12):1373-1379.</w:t>
      </w:r>
    </w:p>
    <w:p>
      <w:pPr>
        <w:pStyle w:val="Heading1"/>
      </w:pPr>
      <w:r>
        <w:rPr>
          <w:rFonts w:ascii="Times New Roman" w:hAnsi="Times New Roman"/>
        </w:rPr>
        <w:t>Declarations</w:t>
      </w:r>
    </w:p>
    <w:p>
      <w:pPr>
        <w:pStyle w:val="Heading2"/>
      </w:pPr>
      <w:r>
        <w:rPr>
          <w:rFonts w:ascii="Times New Roman" w:hAnsi="Times New Roman"/>
        </w:rPr>
        <w:t>Ethics approval and consent to participate</w:t>
      </w:r>
    </w:p>
    <w:p>
      <w:r>
        <w:rPr>
          <w:rFonts w:ascii="Times New Roman" w:hAnsi="Times New Roman"/>
          <w:sz w:val="24"/>
        </w:rPr>
        <w:t>This retrospective study was approved by the institutional review boards of the participating hospitals. All patient data were de-identified prior to analysis. The requirement for informed consent was waived due to the retrospective nature of the study, consistent with institutional policies and the Declaration of Helsinki.</w:t>
      </w:r>
    </w:p>
    <w:p>
      <w:pPr>
        <w:pStyle w:val="Heading2"/>
      </w:pPr>
      <w:r>
        <w:rPr>
          <w:rFonts w:ascii="Times New Roman" w:hAnsi="Times New Roman"/>
        </w:rPr>
        <w:t>Consent for publication</w:t>
      </w:r>
    </w:p>
    <w:p>
      <w:r>
        <w:rPr>
          <w:rFonts w:ascii="Times New Roman" w:hAnsi="Times New Roman"/>
          <w:sz w:val="24"/>
        </w:rPr>
        <w:t>Not applicable.</w:t>
      </w:r>
    </w:p>
    <w:p>
      <w:pPr>
        <w:pStyle w:val="Heading2"/>
      </w:pPr>
      <w:r>
        <w:rPr>
          <w:rFonts w:ascii="Times New Roman" w:hAnsi="Times New Roman"/>
        </w:rPr>
        <w:t>Availability of data and materials</w:t>
      </w:r>
    </w:p>
    <w:p>
      <w:r>
        <w:rPr>
          <w:rFonts w:ascii="Times New Roman" w:hAnsi="Times New Roman"/>
          <w:sz w:val="24"/>
        </w:rPr>
        <w:t>The datasets analyzed during the current study are not publicly available due to patient privacy restrictions and institutional data governance policies. De-identified data are available from the corresponding author on reasonable request and subject to institutional data-sharing agreements. The complete analysis pipeline, model weights, and reproducible code are available at https://github.com/angelayaoo/Ovarian-Cancer-RiskSLIM.</w:t>
      </w:r>
    </w:p>
    <w:p>
      <w:pPr>
        <w:pStyle w:val="Heading2"/>
      </w:pPr>
      <w:r>
        <w:rPr>
          <w:rFonts w:ascii="Times New Roman" w:hAnsi="Times New Roman"/>
        </w:rPr>
        <w:t>Competing interests</w:t>
      </w:r>
    </w:p>
    <w:p>
      <w:r>
        <w:rPr>
          <w:rFonts w:ascii="Times New Roman" w:hAnsi="Times New Roman"/>
          <w:sz w:val="24"/>
        </w:rPr>
        <w:t>The authors declare that they have no competing interests.</w:t>
      </w:r>
    </w:p>
    <w:p>
      <w:pPr>
        <w:pStyle w:val="Heading2"/>
      </w:pPr>
      <w:r>
        <w:rPr>
          <w:rFonts w:ascii="Times New Roman" w:hAnsi="Times New Roman"/>
        </w:rPr>
        <w:t>Funding</w:t>
      </w:r>
    </w:p>
    <w:p>
      <w:r>
        <w:rPr>
          <w:rFonts w:ascii="Times New Roman" w:hAnsi="Times New Roman"/>
          <w:sz w:val="24"/>
        </w:rPr>
        <w:t>[To be completed]</w:t>
      </w:r>
    </w:p>
    <w:p>
      <w:pPr>
        <w:pStyle w:val="Heading2"/>
      </w:pPr>
      <w:r>
        <w:rPr>
          <w:rFonts w:ascii="Times New Roman" w:hAnsi="Times New Roman"/>
        </w:rPr>
        <w:t>Authors' contributions</w:t>
      </w:r>
    </w:p>
    <w:p>
      <w:r>
        <w:rPr>
          <w:rFonts w:ascii="Times New Roman" w:hAnsi="Times New Roman"/>
          <w:sz w:val="24"/>
        </w:rPr>
        <w:t>[To be completed]</w:t>
      </w:r>
    </w:p>
    <w:p>
      <w:pPr>
        <w:pStyle w:val="Heading2"/>
      </w:pPr>
      <w:r>
        <w:rPr>
          <w:rFonts w:ascii="Times New Roman" w:hAnsi="Times New Roman"/>
        </w:rPr>
        <w:t>Acknowledgements</w:t>
      </w:r>
    </w:p>
    <w:p>
      <w:r>
        <w:rPr>
          <w:rFonts w:ascii="Times New Roman" w:hAnsi="Times New Roman"/>
          <w:sz w:val="24"/>
        </w:rPr>
        <w:t>The authors gratefully acknowledge the clinical staff at the participating hospitals for their contributions to data collection and patient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