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1ADBF">
      <w:pPr>
        <w:spacing w:after="60"/>
        <w:jc w:val="center"/>
      </w:pPr>
      <w:r>
        <w:rPr>
          <w:rFonts w:hint="eastAsia" w:ascii="Calibri" w:hAnsi="Calibri"/>
          <w:b/>
          <w:i w:val="0"/>
          <w:color w:val="0B2545"/>
          <w:sz w:val="40"/>
          <w:lang w:eastAsia="zh-CN"/>
        </w:rPr>
        <w:t>AI for Research</w:t>
      </w:r>
      <w:r>
        <w:rPr>
          <w:rFonts w:ascii="Calibri" w:hAnsi="Calibri" w:eastAsia="Microsoft YaHei"/>
          <w:b/>
          <w:i w:val="0"/>
          <w:color w:val="0B2545"/>
          <w:sz w:val="40"/>
        </w:rPr>
        <w:t>赛道｜开放探索赛初赛问题定义文档</w:t>
      </w:r>
    </w:p>
    <w:p w14:paraId="5F5B536D">
      <w:pPr>
        <w:spacing w:after="200"/>
        <w:jc w:val="center"/>
      </w:pPr>
      <w:r>
        <w:rPr>
          <w:rFonts w:ascii="Calibri" w:hAnsi="Calibri" w:eastAsia="Microsoft YaHei"/>
          <w:b w:val="0"/>
          <w:i w:val="0"/>
          <w:color w:val="5A6573"/>
          <w:sz w:val="21"/>
        </w:rPr>
        <w:t>初赛提交：问题定义文档（不超过 4 页）</w:t>
      </w:r>
    </w:p>
    <w:p w14:paraId="57F2D753">
      <w:pPr>
        <w:shd w:val="clear" w:fill="F4F6F9"/>
        <w:spacing w:before="40" w:after="120"/>
        <w:rPr>
          <w:rFonts w:ascii="Calibri" w:hAnsi="Calibri" w:eastAsia="Microsoft YaHei"/>
          <w:b/>
          <w:i w:val="0"/>
          <w:color w:val="1F4D78"/>
          <w:sz w:val="19"/>
        </w:rPr>
      </w:pPr>
      <w:r>
        <w:rPr>
          <w:rFonts w:ascii="Calibri" w:hAnsi="Calibri" w:eastAsia="Microsoft YaHei"/>
          <w:b/>
          <w:i w:val="0"/>
          <w:color w:val="1F4D78"/>
          <w:sz w:val="19"/>
        </w:rPr>
        <w:t>赛事要求：</w:t>
      </w:r>
    </w:p>
    <w:p w14:paraId="035FBE22">
      <w:pPr>
        <w:numPr>
          <w:ilvl w:val="0"/>
          <w:numId w:val="0"/>
        </w:numPr>
        <w:shd w:val="clear" w:fill="F4F6F9"/>
        <w:spacing w:before="40" w:after="120"/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1.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开放探索赛初赛应说明看见了什么问题、为什么 AI 可以介入、如何定义探索环境、什么算发现信号、最小参照系是什么。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2.</w:t>
      </w:r>
      <w:bookmarkStart w:id="0" w:name="_GoBack"/>
      <w:bookmarkEnd w:id="0"/>
      <w:r>
        <w:rPr>
          <w:rFonts w:ascii="Calibri" w:hAnsi="Calibri" w:eastAsia="Microsoft YaHei"/>
          <w:b w:val="0"/>
          <w:i w:val="0"/>
          <w:color w:val="0B2545"/>
          <w:sz w:val="19"/>
        </w:rPr>
        <w:t>重点考察核心思考，不以篇幅长短为标准。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br w:type="textWrapping"/>
      </w: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3.</w:t>
      </w:r>
      <w:r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  <w:t>这份结构只提供一种组织顺序;评委最终要能准确复述你的问题、环境与最小闭环。</w:t>
      </w:r>
    </w:p>
    <w:p w14:paraId="7DA1347B">
      <w:pPr>
        <w:numPr>
          <w:ilvl w:val="0"/>
          <w:numId w:val="0"/>
        </w:numPr>
        <w:shd w:val="clear" w:fill="F4F6F9"/>
        <w:spacing w:before="40" w:after="120"/>
        <w:rPr>
          <w:rFonts w:hint="default" w:ascii="Calibri" w:hAnsi="Calibri"/>
          <w:b w:val="0"/>
          <w:i w:val="0"/>
          <w:color w:val="0B2545"/>
          <w:sz w:val="19"/>
          <w:lang w:val="en-US" w:eastAsia="zh-CN"/>
        </w:rPr>
      </w:pPr>
      <w:r>
        <w:rPr>
          <w:rFonts w:hint="eastAsia" w:ascii="Calibri" w:hAnsi="Calibri"/>
          <w:b/>
          <w:i w:val="0"/>
          <w:color w:val="1F4D78"/>
          <w:sz w:val="19"/>
          <w:lang w:val="en-US" w:eastAsia="zh-CN"/>
        </w:rPr>
        <w:t>4</w:t>
      </w:r>
      <w:r>
        <w:rPr>
          <w:rFonts w:hint="eastAsia" w:ascii="Calibri" w:hAnsi="Calibri"/>
          <w:b w:val="0"/>
          <w:i w:val="0"/>
          <w:color w:val="0B2545"/>
          <w:sz w:val="19"/>
          <w:lang w:val="en-US" w:eastAsia="zh-CN"/>
        </w:rPr>
        <w:t>.呈现要求：建议图文并茂，可通过流程图、场景图、数据图或实验示意图呈现关键证据</w:t>
      </w:r>
    </w:p>
    <w:p w14:paraId="10807880">
      <w:pPr>
        <w:pStyle w:val="2"/>
      </w:pPr>
      <w:r>
        <w:t>一、问题</w:t>
      </w:r>
      <w:r>
        <w:rPr>
          <w:rFonts w:hint="eastAsia"/>
        </w:rPr>
        <w:t>与证据</w:t>
      </w:r>
    </w:p>
    <w:p w14:paraId="44BF846D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1.1 真实问题或需求</w:t>
      </w:r>
    </w:p>
    <w:p w14:paraId="6CE5101A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  <w:lang w:val="en-US" w:eastAsia="en-US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财富分布的不平等是经济学、社会学与统计物理学的交叉难题。实证研究表明：财富分布主体可用对数正态描述，最高端右尾呈帕累托幂律——而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分布低端（左尾）顽固拒绝被任何经典分布拟合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（E1, E2）。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在经济物理学的 Kesten 随机过程框架下，研究者聚焦于右尾幂律指数的产生条件，将左尾视为残余噪声。然而左尾包含贫困陷阱、社会流动性与政策干预有效性等重大问题。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底层人群的财富动态似乎受制于与顶层完全不同的机制，但至今未被任何简约随机过程统一描述。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核心困惑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：为什么能精确产生右尾帕累托分布的 Kesten 过程，其左尾却总是偏离对数正态预测？这种偏离是否隐藏着一个可识别的"相变阈值"？</w:t>
      </w:r>
    </w:p>
    <w:p>
      <w:pPr/>
      <w:r>
        <w:rPr/>
        <w:t xml:space="preserve"> </w:t>
      </w:r>
    </w:p>
    <w:p w14:paraId="6BE72A3D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1.2 为什么尚未被结构化</w:t>
      </w:r>
    </w:p>
    <w:p w14:paraId="06EB370A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机制归因分裂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：线性 Kesten 过程产生纯对数正态分布，无法产生实证中的双尾结构。非线性模型虽能产生双尾，但通常强化右尾，没有专门探索低财富端的边界行为（反射/吸收、加性收入分布、冲击概率等）。产生帕累托右尾的条件已被严格数学化，但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左尾结构产生的条件至今缺乏类似的严谨刻画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（E6）。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数据与模型的断层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：实证数据（如 SCF 2022，E7）清楚展示了左尾形态，但经济物理学模型通常只对标右尾的幂律指数，忽视左尾的系统性比较。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核心缺口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：领域内尚无研究系统性地将 Kesten 过程的参数空间（冲击概率 p、耗散率 c、加性项分布、边界类型）与左尾统计特征（衰减指数、双峰性、贫困率波动）映射起来，更未有人在此空间中搜索可能存在的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相变阈值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。</w:t>
      </w:r>
    </w:p>
    <w:p>
      <w:pPr/>
      <w:r>
        <w:rPr/>
        <w:t xml:space="preserve"> </w:t>
      </w:r>
    </w:p>
    <w:p w14:paraId="713315DE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1.</w:t>
      </w:r>
      <w:r>
        <w:rPr>
          <w:rFonts w:hint="eastAsia" w:ascii="SimHei" w:hAnsi="SimHei" w:eastAsia="SimHei" w:cs="SimHei"/>
          <w:lang w:val="en-US" w:eastAsia="zh-CN"/>
        </w:rPr>
        <w:t xml:space="preserve">3 </w:t>
      </w:r>
      <w:r>
        <w:rPr>
          <w:rFonts w:hint="eastAsia" w:ascii="SimHei" w:hAnsi="SimHei" w:eastAsia="SimHei" w:cs="SimHei"/>
        </w:rPr>
        <w:t>研究价值与合适切片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Microsoft YaHei"/>
          <w:b/>
          <w:i w:val="0"/>
          <w:color w:val="1F4D78"/>
          <w:sz w:val="21"/>
          <w:lang w:val="en-US" w:eastAsia="en-US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科学价值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：若能在 Kesten 过程扩展参数空间中定位明确的临界阈值 R* = p/c，超过该阈值后左尾形态发生非连续性突变，将为"底层财富动力学受制于不同机制"提供第一个严格的随机过程证据，弥合经济物理学中两类描述的裂缝。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AI 的介入方式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：Agent 作为高维参数空间的主动探索者。传统网格搜索盲目低效；Agent 利用反馈信号（左尾衰减指数变化率）自适应地聚焦临界区域，进行贝叶斯优化搜索，在 120 次试跑预算内高效定位相变点，并自主切换边界规则测试机制突变是否由边界条件引起。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合适切片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：聚焦于一个高度可控的数值实验——在 Kesten 过程框架下，冲击-耗散比值 p/c 与边界条件类型如何共同决定左尾渐近形态。p 类比社会风险冲击，c 类比生活消费刚性，比赛周期内完全可验证。</w:t>
      </w:r>
    </w:p>
    <w:p>
      <w:pPr/>
      <w:r>
        <w:rPr/>
        <w:t xml:space="preserve"> </w:t>
      </w:r>
    </w:p>
    <w:p w14:paraId="22D94105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</w:p>
    <w:p w14:paraId="6C7324A3">
      <w:pPr>
        <w:spacing w:after="0"/>
      </w:pPr>
    </w:p>
    <w:p w14:paraId="6FEF0160">
      <w:pPr>
        <w:pStyle w:val="2"/>
      </w:pPr>
      <w:r>
        <w:t>二、</w:t>
      </w:r>
      <w:r>
        <w:rPr>
          <w:rFonts w:hint="eastAsia"/>
        </w:rPr>
        <w:t>环境接口</w:t>
      </w:r>
    </w:p>
    <w:p w14:paraId="686E3F49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2.1固定规则</w:t>
      </w:r>
    </w:p>
    <w:p w14:paraId="597E7650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环境基于扩展 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Kesten 随机过程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，模拟封闭经济体中 N = 100,000 个个体的财富演化，离散时间步 T = 10,000。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财富更新方程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（固定）：</w:t>
      </w:r>
    </w:p>
    <w:p>
      <w:pPr>
        <w:shd w:val="clear" w:fill="F4F6F9"/>
        <w:spacing w:after="60"/>
        <w:ind w:left="300" w:firstLine="0"/>
      </w:pPr>
      <w:r>
        <w:rPr>
          <w:rFonts w:ascii="Courier New" w:hAnsi="Courier New" w:eastAsia="Microsoft YaHei"/>
          <w:b w:val="0"/>
          <w:sz w:val="18"/>
          <w:color w:val="1F4D78"/>
        </w:rPr>
        <w:t xml:space="preserve">W_i(t+1) = W_i(t) + I_i(t) - c · W_i(t) + ξ_i(t)</w:t>
      </w:r>
    </w:p>
    <w:p>
      <w:pPr>
        <w:numPr>
          <w:ilvl w:val="0"/>
          <w:numId w:val="1"/>
        </w:numPr>
        <w:spacing w:after="60"/>
        <w:ind w:left="420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I_i(t)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：加性收入项，从固定分布族（对数正态 / 指数 / 均匀，由 Agent 切换但选定后该轮固定）中抽样</w:t>
      </w:r>
    </w:p>
    <w:p>
      <w:pPr>
        <w:numPr>
          <w:ilvl w:val="0"/>
          <w:numId w:val="1"/>
        </w:numPr>
        <w:spacing w:after="60"/>
        <w:ind w:left="420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c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：统一消费耗散率（范围 0.01~0.3，Agent 可调）</w:t>
      </w:r>
    </w:p>
    <w:p>
      <w:pPr>
        <w:numPr>
          <w:ilvl w:val="0"/>
          <w:numId w:val="1"/>
        </w:numPr>
        <w:spacing w:after="60"/>
        <w:ind w:left="420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ξ_i(t)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：随机冲击项，以概率 p（0.001~0.1）将个体财富重置为下界附近均匀随机值（模拟失业/大病等极端事件）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下界约束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（固定）：W_i(t) &gt;= 0。触及下界时处理方式（反射 / 吸收 / 软夹紧）由 Agent 每轮开始前选定。所有对比实验固定 5 个随机种子（0, 42, 123, 2024, 9999）。</w:t>
      </w:r>
    </w:p>
    <w:p>
      <w:pPr/>
      <w:r>
        <w:rPr/>
        <w:t xml:space="preserve"> </w:t>
      </w:r>
    </w:p>
    <w:p w14:paraId="68827DBD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2.2 观察/行动/反馈</w:t>
      </w:r>
    </w:p>
    <w:p w14:paraId="1159813B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tbl>
      <w:tblPr>
        <w:tblW w:w="86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00"/>
        <w:gridCol w:w="7100"/>
      </w:tblGrid>
      <w:tr>
        <w:tc>
          <w:tcPr>
            <w:tcW w:w="15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组件</w:t>
            </w:r>
          </w:p>
        </w:tc>
        <w:tc>
          <w:tcPr>
            <w:tcW w:w="71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具体内容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观察</w:t>
            </w:r>
          </w:p>
        </w:tc>
        <w:tc>
          <w:tcPr>
            <w:tcW w:w="71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完整财富分布直方图（左尾 500 bins）；左尾衰减指数 beta_left；贫困率 Poverty_Rate（W &lt; 1.0 占比）；分布峰度（Kurtosis）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行动</w:t>
            </w:r>
          </w:p>
        </w:tc>
        <w:tc>
          <w:tcPr>
            <w:tcW w:w="71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每轮只改变一个维度：① 调整冲击概率 p（自适应步长）；② 调整耗散率 c；③ 切换边界类型（reflect / absorb / soft_clamp）；④ 切换加性收入分布形状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反馈</w:t>
            </w:r>
          </w:p>
        </w:tc>
        <w:tc>
          <w:tcPr>
            <w:tcW w:w="71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本轮 beta_left 及 95% 置信区间；Δβ（与上轮差值）；CUSUM 突变检测标志；若检测到突变，返回临界点近似位置 R* = p/c</w:t>
            </w:r>
          </w:p>
        </w:tc>
      </w:tr>
    </w:tbl>
    <w:p>
      <w:pPr>
        <w:spacing w:after="80"/>
      </w:pPr>
    </w:p>
    <w:p>
      <w:pPr/>
      <w:r>
        <w:rPr/>
        <w:t xml:space="preserve"> </w:t>
      </w:r>
    </w:p>
    <w:p w14:paraId="2914062D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2.3 记录与预算</w:t>
      </w:r>
    </w:p>
    <w:p w14:paraId="272D4DC7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状态记录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：每轮记录完整元组 (round_id, p, c, boundary_type, income_dist, beta_left, beta_ci, poverty_rate, kurtosis, mutation_flag, r_star, timestamp)，CSV 格式，同时保存左尾直方图数据。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计算预算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：单次模拟（NumPy 向量化）耗时约 2.5 秒。Agent 总预算 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120 次试跑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，总计算耗时约 6 分钟。存储小于 20 MB。</w:t>
      </w:r>
    </w:p>
    <w:p w14:paraId="2715543F">
      <w:pPr>
        <w:pStyle w:val="3"/>
      </w:pPr>
      <w:r>
        <w:rPr>
          <w:rFonts w:hint="eastAsia" w:ascii="SimHei" w:hAnsi="SimHei" w:eastAsia="SimHei" w:cs="SimHei"/>
        </w:rPr>
        <w:br w:type="page"/>
      </w:r>
    </w:p>
    <w:p w14:paraId="7FFB157E">
      <w:pPr>
        <w:pStyle w:val="2"/>
      </w:pPr>
      <w:r>
        <w:t>三、</w:t>
      </w:r>
      <w:r>
        <w:rPr>
          <w:rFonts w:hint="eastAsia"/>
        </w:rPr>
        <w:t>发现信号与参照</w:t>
      </w:r>
    </w:p>
    <w:p w14:paraId="6E43739B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3.1 什么算发现</w:t>
      </w:r>
    </w:p>
    <w:p w14:paraId="029E10DE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tbl>
      <w:tblPr>
        <w:tblW w:w="86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300"/>
        <w:gridCol w:w="3400"/>
        <w:gridCol w:w="3900"/>
      </w:tblGrid>
      <w:tr>
        <w:tc>
          <w:tcPr>
            <w:tcW w:w="13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编号</w:t>
            </w:r>
          </w:p>
        </w:tc>
        <w:tc>
          <w:tcPr>
            <w:tcW w:w="34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发现类型</w:t>
            </w:r>
          </w:p>
        </w:tc>
        <w:tc>
          <w:tcPr>
            <w:tcW w:w="39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操作化定义</w:t>
            </w:r>
          </w:p>
        </w:tc>
      </w:tr>
      <w:tr>
        <w:tc>
          <w:tcPr>
            <w:tcW w:w="1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D1（相变阈值）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在某 R* = p/c 附近，beta_left 变化量超过邻近 5 点波动标准差的 3 倍</w:t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且该跳跃在 4/5 以上随机种子中重复出现。示例：p/c ≈ 0.15 时，β 从 2.1 突变至 3.8</w:t>
            </w:r>
          </w:p>
        </w:tc>
      </w:tr>
      <w:tr>
        <w:tc>
          <w:tcPr>
            <w:tcW w:w="1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D2（边界机制）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切换边界类型时，某组合稳定产生非平凡的第二段幂律</w:t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KS 检验 p 小于 0.05，表明边界条件充当"机制开关"</w:t>
            </w:r>
          </w:p>
        </w:tc>
      </w:tr>
      <w:tr>
        <w:tc>
          <w:tcPr>
            <w:tcW w:w="1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D3（稳定负结果）</w:t>
            </w:r>
          </w:p>
        </w:tc>
        <w:tc>
          <w:tcPr>
            <w:tcW w:w="34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80 次以上试跑后，左尾始终与纯对数正态基线无显著差异</w:t>
            </w:r>
          </w:p>
        </w:tc>
        <w:tc>
          <w:tcPr>
            <w:tcW w:w="39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记录为负发现，指引向网络交互模型</w:t>
            </w:r>
          </w:p>
        </w:tc>
      </w:tr>
    </w:tbl>
    <w:p>
      <w:pPr>
        <w:spacing w:after="80"/>
      </w:pPr>
    </w:p>
    <w:p>
      <w:pPr/>
      <w:r>
        <w:rPr/>
        <w:t xml:space="preserve"> </w:t>
      </w:r>
    </w:p>
    <w:p w14:paraId="4464C725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3.2 平凡解/随机/无干预</w:t>
      </w:r>
    </w:p>
    <w:p w14:paraId="3AC3FC2B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tbl>
      <w:tblPr>
        <w:tblW w:w="86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800"/>
        <w:gridCol w:w="6800"/>
      </w:tblGrid>
      <w:tr>
        <w:tc>
          <w:tcPr>
            <w:tcW w:w="18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参照类型</w:t>
            </w:r>
          </w:p>
        </w:tc>
        <w:tc>
          <w:tcPr>
            <w:tcW w:w="68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具体内容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无干预基线</w:t>
            </w:r>
          </w:p>
        </w:tc>
        <w:tc>
          <w:tcPr>
            <w:tcW w:w="6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固定 p=0.01, c=0.1, reflect，对数正态收入，运行 10 次取平均 beta_left_base，作为 Agent 起点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随机探索参照</w:t>
            </w:r>
          </w:p>
        </w:tc>
        <w:tc>
          <w:tcPr>
            <w:tcW w:w="6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Agent 在参数空间内随机游走（不利用反馈），运行 50 轮。若自适应 Agent 表现未显著优于随机游走（t-test p&gt;0.05），判定探索策略无效</w:t>
            </w:r>
          </w:p>
        </w:tc>
      </w:tr>
      <w:tr>
        <w:tc>
          <w:tcPr>
            <w:tcW w:w="1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理论硬基线</w:t>
            </w:r>
          </w:p>
        </w:tc>
        <w:tc>
          <w:tcPr>
            <w:tcW w:w="6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纯线性 Kesten 过程下，左尾渐近行为严格等于加性项分布的对数正态尾部——此为解析解基线</w:t>
            </w:r>
          </w:p>
        </w:tc>
      </w:tr>
    </w:tbl>
    <w:p>
      <w:pPr>
        <w:spacing w:after="80"/>
      </w:pP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判断标准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：D1/D2 类信号须同时满足：① 统计上显著优于随机探索基线；② 形态上与理论基线有质的不同（出现第二段幂律或非连续跳跃）。</w:t>
      </w:r>
    </w:p>
    <w:p>
      <w:pPr/>
      <w:r>
        <w:rPr/>
        <w:t xml:space="preserve"> </w:t>
      </w:r>
    </w:p>
    <w:p w14:paraId="4C699CCE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3.3 最低成功与失败标准</w:t>
      </w:r>
    </w:p>
    <w:p w14:paraId="0D34A558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最低成功标准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：Agent 在 120 次以内试跑内，至少 1 次检测到 D1 或 D2 类信号，且该信号在 4/5 以上随机种子中稳定复现。最终探索轨迹须能用 2~3 句话向领域专家解释清楚"为何在那个参数区间发生了突变"。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明确失败标准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：经过 120 次试跑后，未检测到任何稳定信号（D1/D2 均未触发，或触发但无法复现），且随机探索基线无法排除。输出最终报告：结论为"在当前 Kesten 过程框架下未发现左尾相变，建议增加网络交互机制或异质代理假设"。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负结果处理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：信号仅在单个种子中出现而无法跨种子复现，记录为"疑似随机噪声"。</w:t>
      </w: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负结果与正发现同等重要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——它排除当前机制，为后续研究指明迭代方向。</w:t>
      </w:r>
    </w:p>
    <w:p>
      <w:pPr/>
      <w:r>
        <w:rPr/>
        <w:t xml:space="preserve"> </w:t>
      </w:r>
    </w:p>
    <w:p w14:paraId="00C9FB48">
      <w:r>
        <w:br w:type="page"/>
      </w:r>
    </w:p>
    <w:p w14:paraId="4DF24F9D">
      <w:pPr>
        <w:pStyle w:val="2"/>
      </w:pPr>
      <w:r>
        <w:t>四、</w:t>
      </w:r>
      <w:r>
        <w:rPr>
          <w:rFonts w:hint="eastAsia"/>
        </w:rPr>
        <w:t>最小验证计划</w:t>
      </w:r>
    </w:p>
    <w:p w14:paraId="522DF1F0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4.1 一次试跑怎么做</w:t>
      </w:r>
    </w:p>
    <w:p w14:paraId="3CB0D217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hint="eastAsia"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目标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：验证环境能否在 3 秒内完成一次完整模拟，并输出可解析的 beta_left 指标。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输入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：固定参数 p=0.01, c=0.1, reflect, lognormal_income，随机种子 42。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步骤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：① 初始化 N=100,000 个个体财富值，均匀分布在 [0.1, 1.0]；② 循环 T=10,000 步，每步并行计算新财富值并施加下界约束；③ 截取左尾（中位数以下），双对数坐标下线性回归得 beta_left；④ 重复 5 个种子，计算均值与 95% 置信区间。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输出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：beta_left = 2.15 ± 0.12，日志记录完整参数与直方图数据，运行时长小于 3 秒。</w:t>
      </w:r>
    </w:p>
    <w:p>
      <w:pPr/>
      <w:r>
        <w:rPr/>
        <w:t xml:space="preserve"> </w:t>
      </w:r>
    </w:p>
    <w:p w14:paraId="2BDE458E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4.2 主要风险与失败路径</w:t>
      </w:r>
    </w:p>
    <w:p w14:paraId="7487D4F0">
      <w:pPr>
        <w:spacing w:after="100"/>
        <w:ind w:left="173" w:firstLine="0"/>
      </w:pPr>
      <w:r>
        <w:rPr>
          <w:rFonts w:ascii="Calibri" w:hAnsi="Calibri" w:eastAsia="Microsoft YaHei"/>
          <w:b/>
          <w:i w:val="0"/>
          <w:color w:val="1F4D78"/>
          <w:sz w:val="21"/>
        </w:rPr>
      </w:r>
    </w:p>
    <w:tbl>
      <w:tblPr>
        <w:tblW w:w="86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00"/>
        <w:gridCol w:w="2800"/>
        <w:gridCol w:w="4300"/>
      </w:tblGrid>
      <w:tr>
        <w:tc>
          <w:tcPr>
            <w:tcW w:w="15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风险类别</w:t>
            </w:r>
          </w:p>
        </w:tc>
        <w:tc>
          <w:tcPr>
            <w:tcW w:w="28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具体描述</w:t>
            </w:r>
          </w:p>
        </w:tc>
        <w:tc>
          <w:tcPr>
            <w:tcW w:w="4300" w:type="dxa"/>
            <w:shd w:val="clear" w:fill="EEF3F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/>
                <w:i w:val="0"/>
                <w:color w:val="1F4D78"/>
                <w:sz w:val="18"/>
              </w:rPr>
              <w:t xml:space="preserve">缓解策略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数值稳定性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极低财富值与高耗散率组合可能导致数值下溢或爆炸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np.clip 下限保护；出现 NaN 则该轮作废，Agent 自动避开极端参数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实证数据稀疏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SCF 对极低财富样本覆盖不足，左尾散点图噪声大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仅作定性趋势参照（看整体形状），增补 Piketty 数据交叉验证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虚假信号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有限样本下 beta_left 天然波动，可能触发虚假突变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要求突变在 4/5 以上种子中同时发生；采用 CUSUM 滑动窗口降低误报率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局部最优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Agent 在阈值附近过早收敛，忽略其他参数维度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前 30 轮强制在各维度均匀采样，之后才转入自适应聚焦</w:t>
            </w:r>
          </w:p>
        </w:tc>
      </w:tr>
      <w:tr>
        <w:tc>
          <w:tcPr>
            <w:tcW w:w="15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解释性偏差</w:t>
            </w:r>
          </w:p>
        </w:tc>
        <w:tc>
          <w:tcPr>
            <w:tcW w:w="28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发现相变后可能过度解读为贫困陷阱的物理证据</w:t>
            </w:r>
          </w:p>
        </w:tc>
        <w:tc>
          <w:tcPr>
            <w:tcW w:w="4300" w:type="dxa"/>
          </w:tcPr>
          <w:p>
            <w:pPr>
              <w:spacing w:after="60"/>
            </w:pPr>
            <w:r>
              <w:rPr>
                <w:rFonts w:hint="eastAsia" w:ascii="Calibri" w:hAnsi="Calibri" w:eastAsia="Microsoft YaHei"/>
                <w:b w:val="0"/>
                <w:i w:val="0"/>
                <w:color w:val="333333"/>
                <w:sz w:val="18"/>
              </w:rPr>
              <w:t xml:space="preserve">结果定位于"Kesten 框架下的数值发现"，明确讨论模型简化假设</w:t>
            </w:r>
          </w:p>
        </w:tc>
      </w:tr>
    </w:tbl>
    <w:p>
      <w:pPr>
        <w:spacing w:after="80"/>
      </w:pPr>
    </w:p>
    <w:p>
      <w:pPr/>
      <w:r>
        <w:rPr/>
        <w:t xml:space="preserve"> </w:t>
      </w:r>
    </w:p>
    <w:p w14:paraId="45B26101">
      <w:pPr>
        <w:pStyle w:val="3"/>
        <w:rPr>
          <w:rFonts w:hint="eastAsia" w:ascii="SimHei" w:hAnsi="SimHei" w:eastAsia="SimHei" w:cs="SimHei"/>
        </w:rPr>
      </w:pPr>
      <w:r>
        <w:rPr>
          <w:rFonts w:hint="eastAsia" w:ascii="SimHei" w:hAnsi="SimHei" w:eastAsia="SimHei" w:cs="SimHei"/>
        </w:rPr>
        <w:t>4.3 复现与开源计划</w:t>
      </w:r>
    </w:p>
    <w:p w14:paraId="54D9B8A6">
      <w:pPr>
        <w:spacing w:after="100"/>
        <w:ind w:left="173" w:firstLine="0"/>
        <w:rPr>
          <w:rFonts w:hint="eastAsia" w:ascii="Calibri" w:hAnsi="Calibri" w:eastAsia="Microsoft YaHei"/>
          <w:b/>
          <w:i w:val="0"/>
          <w:color w:val="1F4D78"/>
          <w:sz w:val="21"/>
        </w:rPr>
      </w:pPr>
      <w:r>
        <w:rPr>
          <w:rFonts w:ascii="Calibri" w:hAnsi="Calibri" w:eastAsia="Microsoft YaHei"/>
          <w:b/>
          <w:i w:val="0"/>
          <w:color w:val="1F4D78"/>
          <w:sz w:val="21"/>
        </w:rPr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数据来源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：SCF 2022 公开数据（E7）仅用于后验定性对照，不作为环境输入。模拟器不依赖任何外部私有数据。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依赖工具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：Python 3.9+，仅需 NumPy（数值计算）、Pandas（日志记录）、Matplotlib（可视化），全部开源跨平台。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运行方式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：克隆仓库后，python main.py --mode explore 启动 Agent 探索；python main.py --mode single --p 0.01 --c 0.1 复现单次试跑。所有随机种子固定，参数在代码开头 Config 类中明文列出，并提供 Jupyter Notebook 交互式复现指南。</w:t>
      </w:r>
    </w:p>
    <w:p>
      <w:pPr>
        <w:spacing w:after="80"/>
        <w:ind w:left="173" w:firstLine="0"/>
      </w:pPr>
      <w:r>
        <w:rPr>
          <w:rFonts w:hint="eastAsia" w:ascii="Calibri" w:hAnsi="Calibri" w:eastAsia="Microsoft YaHei"/>
          <w:b/>
          <w:i w:val="0"/>
          <w:color w:val="333333"/>
          <w:sz w:val="19"/>
        </w:rPr>
        <w:t xml:space="preserve">开源计划</w:t>
      </w:r>
      <w:r>
        <w:rPr>
          <w:rFonts w:hint="eastAsia" w:ascii="Calibri" w:hAnsi="Calibri" w:eastAsia="Microsoft YaHei"/>
          <w:b w:val="0"/>
          <w:i w:val="0"/>
          <w:color w:val="333333"/>
          <w:sz w:val="19"/>
        </w:rPr>
        <w:t xml:space="preserve">：比赛结束后以 MIT 协议开源至 GitHub，包含完整模拟器、Agent 逻辑、分析脚本及图表生成代码。</w:t>
      </w:r>
    </w:p>
    <w:p>
      <w:pPr/>
      <w:r>
        <w:rPr/>
        <w:t xml:space="preserve"> </w:t>
      </w:r>
    </w:p>
    <w:p w14:paraId="5FD3459D">
      <w:pPr>
        <w:spacing w:after="100"/>
        <w:ind w:left="173" w:firstLine="0"/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altName w:val="Hiragino Sans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18"/>
      <w:jc w:val="right"/>
    </w:pPr>
    <w:r>
      <w:rPr>
        <w:rFonts w:ascii="Calibri" w:hAnsi="Calibri" w:eastAsia="Microsoft YaHei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Microsoft YaHei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F3B35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24</TotalTime>
  <ScaleCrop>false</ScaleCrop>
  <LinksUpToDate>false</LinksUpToDate>
  <CharactersWithSpaces>785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桃之夭夭 锁心</cp:lastModifiedBy>
  <dcterms:modified xsi:type="dcterms:W3CDTF">2026-08-05T16:41:10Z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1033-12.1.25867.25867</vt:lpwstr>
  </property>
  <property fmtid="{D5CDD505-2E9C-101B-9397-08002B2CF9AE}" pid="4" name="ICV">
    <vt:lpwstr>6FD050BDE3104BA2BE257A8281518AEF_13</vt:lpwstr>
  </property>
</Properties>
</file>