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1ADBF">
      <w:pPr>
        <w:spacing w:after="60"/>
        <w:jc w:val="center"/>
        <w:rPr>
          <w:sz w:val="13"/>
          <w:szCs w:val="15"/>
        </w:rPr>
      </w:pPr>
      <w:r>
        <w:rPr>
          <w:rFonts w:hint="eastAsia" w:ascii="Calibri" w:hAnsi="Calibri"/>
          <w:b/>
          <w:i w:val="0"/>
          <w:color w:val="0B2545"/>
          <w:sz w:val="22"/>
          <w:szCs w:val="15"/>
          <w:lang w:eastAsia="zh-CN"/>
        </w:rPr>
        <w:t>AI for Research</w:t>
      </w:r>
      <w:r>
        <w:rPr>
          <w:rFonts w:ascii="Calibri" w:hAnsi="Calibri" w:eastAsia="Microsoft YaHei"/>
          <w:b/>
          <w:i w:val="0"/>
          <w:color w:val="0B2545"/>
          <w:sz w:val="22"/>
          <w:szCs w:val="15"/>
        </w:rPr>
        <w:t>赛道｜开放探索赛初赛问题定义文档</w:t>
      </w:r>
    </w:p>
    <w:p w14:paraId="5F5B536D">
      <w:pPr>
        <w:spacing w:after="200"/>
        <w:jc w:val="center"/>
        <w:rPr>
          <w:sz w:val="13"/>
          <w:szCs w:val="15"/>
        </w:rPr>
      </w:pPr>
      <w:r>
        <w:rPr>
          <w:rFonts w:ascii="Calibri" w:hAnsi="Calibri" w:eastAsia="Microsoft YaHei"/>
          <w:b w:val="0"/>
          <w:i w:val="0"/>
          <w:color w:val="5A6573"/>
          <w:sz w:val="13"/>
          <w:szCs w:val="15"/>
        </w:rPr>
        <w:t>初赛提交：问题定义文档（不超过 4 页）</w:t>
      </w:r>
    </w:p>
    <w:p w14:paraId="57F2D753">
      <w:pPr>
        <w:shd w:val="clear" w:fill="F4F6F9"/>
        <w:spacing w:before="40" w:after="120"/>
        <w:rPr>
          <w:rFonts w:ascii="Calibri" w:hAnsi="Calibri" w:eastAsia="Microsoft YaHei"/>
          <w:b/>
          <w:i w:val="0"/>
          <w:color w:val="1F4D78"/>
          <w:sz w:val="11"/>
          <w:szCs w:val="15"/>
        </w:rPr>
      </w:pPr>
      <w:r>
        <w:rPr>
          <w:rFonts w:ascii="Calibri" w:hAnsi="Calibri" w:eastAsia="Microsoft YaHei"/>
          <w:b/>
          <w:i w:val="0"/>
          <w:color w:val="1F4D78"/>
          <w:sz w:val="11"/>
          <w:szCs w:val="15"/>
        </w:rPr>
        <w:t>赛事要求：</w:t>
      </w:r>
    </w:p>
    <w:p w14:paraId="035FBE22">
      <w:pPr>
        <w:numPr>
          <w:ilvl w:val="0"/>
          <w:numId w:val="0"/>
        </w:numPr>
        <w:shd w:val="clear" w:fill="F4F6F9"/>
        <w:spacing w:before="40" w:after="120"/>
        <w:rPr>
          <w:rFonts w:hint="eastAsia" w:ascii="Calibri" w:hAnsi="Calibri"/>
          <w:b w:val="0"/>
          <w:i w:val="0"/>
          <w:color w:val="0B2545"/>
          <w:sz w:val="11"/>
          <w:szCs w:val="15"/>
          <w:lang w:val="en-US" w:eastAsia="zh-CN"/>
        </w:rPr>
      </w:pPr>
      <w:r>
        <w:rPr>
          <w:rFonts w:hint="eastAsia" w:ascii="Calibri" w:hAnsi="Calibri"/>
          <w:b/>
          <w:i w:val="0"/>
          <w:color w:val="1F4D78"/>
          <w:sz w:val="11"/>
          <w:szCs w:val="15"/>
          <w:lang w:val="en-US" w:eastAsia="zh-CN"/>
        </w:rPr>
        <w:t>1.</w:t>
      </w:r>
      <w:r>
        <w:rPr>
          <w:rFonts w:ascii="Calibri" w:hAnsi="Calibri" w:eastAsia="Microsoft YaHei"/>
          <w:b w:val="0"/>
          <w:i w:val="0"/>
          <w:color w:val="0B2545"/>
          <w:sz w:val="11"/>
          <w:szCs w:val="15"/>
        </w:rPr>
        <w:t>开放探索赛初赛应说明看见了什么问题、为什么 AI 可以介入、如何定义探索环境、什么算发现信号、最小参照系是什么。</w:t>
      </w:r>
      <w:r>
        <w:rPr>
          <w:rFonts w:ascii="Calibri" w:hAnsi="Calibri" w:eastAsia="Microsoft YaHei"/>
          <w:b w:val="0"/>
          <w:i w:val="0"/>
          <w:color w:val="0B2545"/>
          <w:sz w:val="11"/>
          <w:szCs w:val="15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1"/>
          <w:szCs w:val="15"/>
          <w:lang w:val="en-US" w:eastAsia="zh-CN"/>
        </w:rPr>
        <w:t>2.</w:t>
      </w:r>
      <w:r>
        <w:rPr>
          <w:rFonts w:ascii="Calibri" w:hAnsi="Calibri" w:eastAsia="Microsoft YaHei"/>
          <w:b w:val="0"/>
          <w:i w:val="0"/>
          <w:color w:val="0B2545"/>
          <w:sz w:val="11"/>
          <w:szCs w:val="15"/>
        </w:rPr>
        <w:t>独立完成，禁止使用 AI 作答</w:t>
      </w:r>
      <w:r>
        <w:rPr>
          <w:rFonts w:hint="eastAsia" w:ascii="Calibri" w:hAnsi="Calibri"/>
          <w:b w:val="0"/>
          <w:i w:val="0"/>
          <w:color w:val="0B2545"/>
          <w:sz w:val="11"/>
          <w:szCs w:val="15"/>
          <w:lang w:eastAsia="zh-CN"/>
        </w:rPr>
        <w:t>。</w:t>
      </w:r>
      <w:r>
        <w:rPr>
          <w:rFonts w:ascii="Calibri" w:hAnsi="Calibri" w:eastAsia="Microsoft YaHei"/>
          <w:b w:val="0"/>
          <w:i w:val="0"/>
          <w:color w:val="0B2545"/>
          <w:sz w:val="11"/>
          <w:szCs w:val="15"/>
        </w:rPr>
        <w:t>重点考察核心思考，不以篇幅长短为标准。</w:t>
      </w:r>
      <w:r>
        <w:rPr>
          <w:rFonts w:ascii="Calibri" w:hAnsi="Calibri" w:eastAsia="Microsoft YaHei"/>
          <w:b w:val="0"/>
          <w:i w:val="0"/>
          <w:color w:val="0B2545"/>
          <w:sz w:val="11"/>
          <w:szCs w:val="15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1"/>
          <w:szCs w:val="15"/>
          <w:lang w:val="en-US" w:eastAsia="zh-CN"/>
        </w:rPr>
        <w:t>3.</w:t>
      </w:r>
      <w:r>
        <w:rPr>
          <w:rFonts w:hint="eastAsia" w:ascii="Calibri" w:hAnsi="Calibri"/>
          <w:b w:val="0"/>
          <w:i w:val="0"/>
          <w:color w:val="0B2545"/>
          <w:sz w:val="11"/>
          <w:szCs w:val="15"/>
          <w:lang w:val="en-US" w:eastAsia="zh-CN"/>
        </w:rPr>
        <w:t>这份结构只提供一种组织顺序;评委最终要能准确复述你的问题、环境与最小闭环。</w:t>
      </w:r>
    </w:p>
    <w:p w14:paraId="7DA1347B">
      <w:pPr>
        <w:numPr>
          <w:ilvl w:val="0"/>
          <w:numId w:val="0"/>
        </w:numPr>
        <w:shd w:val="clear" w:fill="F4F6F9"/>
        <w:spacing w:before="40" w:after="120"/>
        <w:rPr>
          <w:rFonts w:hint="default" w:ascii="Calibri" w:hAnsi="Calibri"/>
          <w:b w:val="0"/>
          <w:i w:val="0"/>
          <w:color w:val="0B2545"/>
          <w:sz w:val="11"/>
          <w:szCs w:val="15"/>
          <w:lang w:val="en-US" w:eastAsia="zh-CN"/>
        </w:rPr>
      </w:pPr>
      <w:r>
        <w:rPr>
          <w:rFonts w:hint="eastAsia" w:ascii="Calibri" w:hAnsi="Calibri"/>
          <w:b/>
          <w:i w:val="0"/>
          <w:color w:val="1F4D78"/>
          <w:sz w:val="11"/>
          <w:szCs w:val="15"/>
          <w:lang w:val="en-US" w:eastAsia="zh-CN"/>
        </w:rPr>
        <w:t>4</w:t>
      </w:r>
      <w:r>
        <w:rPr>
          <w:rFonts w:hint="eastAsia" w:ascii="Calibri" w:hAnsi="Calibri"/>
          <w:b w:val="0"/>
          <w:i w:val="0"/>
          <w:color w:val="0B2545"/>
          <w:sz w:val="11"/>
          <w:szCs w:val="15"/>
          <w:lang w:val="en-US" w:eastAsia="zh-CN"/>
        </w:rPr>
        <w:t>.呈现要求：建议图文并茂，可通过流程图、场景图、数据图或实验示意图呈现关键证据</w:t>
      </w:r>
    </w:p>
    <w:p w14:paraId="10807880">
      <w:pPr>
        <w:pStyle w:val="2"/>
        <w:rPr>
          <w:sz w:val="20"/>
          <w:szCs w:val="18"/>
        </w:rPr>
      </w:pPr>
      <w:r>
        <w:rPr>
          <w:sz w:val="20"/>
          <w:szCs w:val="18"/>
        </w:rPr>
        <w:t>一、问题</w:t>
      </w:r>
      <w:r>
        <w:rPr>
          <w:rFonts w:hint="eastAsia"/>
          <w:sz w:val="20"/>
          <w:szCs w:val="18"/>
        </w:rPr>
        <w:t>与证据</w:t>
      </w:r>
    </w:p>
    <w:p w14:paraId="44BF846D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1.1 真实问题或需求</w:t>
      </w:r>
    </w:p>
    <w:p w14:paraId="13669E0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财富和收入分配的不平等是经济学、社会学和物理学的交叉难题。实证研究一致表明：财富分布的主体部分（bulk）可用对数正态分布描述，而最高端右尾呈现帕累托幂律分布。然而，分布的低端——左尾（贫困/底层财富）却顽固地拒绝被任何经典分布拟合（E1, E2）。在标准的经济物理学模型中，特别是 Kesten 随机过程框架下，研究者往往聚焦于右尾幂律指数的产生条件（Benhabib et al., 2011），而将左尾视为残余噪声或简单地归因于加性项。但现实世界告诉我们：左尾包含着关于社会流动性、贫困陷阱、政策干预有效性等重大问题。我们观察到：底层人群的财富动态似乎受制于与顶层完全不同的机制，但这一机制至今未被任何简约随机过程统一描述。</w:t>
      </w:r>
      <w:r>
        <w:rPr>
          <w:rFonts w:hint="eastAsia" w:eastAsia="SimSun"/>
          <w:sz w:val="16"/>
          <w:szCs w:val="16"/>
          <w:lang w:val="en-US" w:eastAsia="zh-CN"/>
        </w:rPr>
        <w:t>我们想探索，</w:t>
      </w:r>
      <w:r>
        <w:rPr>
          <w:rFonts w:hint="eastAsia" w:ascii="SimSun" w:hAnsi="SimSun" w:eastAsia="SimSun" w:cs="SimSun"/>
          <w:sz w:val="16"/>
          <w:szCs w:val="16"/>
        </w:rPr>
        <w:t>为什么一个能够精确产生右尾帕累托分布的 Kesten 过程，其左尾却总是偏离对数正态预测？这种偏离是否隐藏着一个可识别的“相变阈值”？</w:t>
      </w:r>
    </w:p>
    <w:p w14:paraId="6CE5101A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</w:rPr>
      </w:pPr>
    </w:p>
    <w:p w14:paraId="6BE72A3D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1.2 为什么尚未被结构化</w:t>
      </w:r>
    </w:p>
    <w:p w14:paraId="5A72338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现有文献（E5）表明，线性 Kesten 过程（财富回报率独立于财富值）产生的是纯对数正态分布，无法产生实证中观察到的双尾结构（左尾+右尾）。非线性模型（Forbes &amp; Grosskinsky, 2021）虽能产生双尾，但通常将非线性项设定为“财富越高，回报率越高”，这自然强化了右尾，却没有专门探索低财富端的边界行为（如反射/吸收、加性收入的分布形状、冲击概率等）。事实上，产生帕累托右尾的条件已被严格数学化（回报率偶发性大于1），但左尾结构产生的条件至今缺乏类似的严谨刻画（E6）。实证数据（如 SCF, E7）清楚展示了左尾的形态，但经济物理学模型通常只对标右尾的幂律指数，忽视左尾的系统性比较。这种“向右看齐”的研究惯性，使得左尾成为理论建模的盲区。</w:t>
      </w:r>
      <w:r>
        <w:rPr>
          <w:rFonts w:hint="eastAsia"/>
          <w:sz w:val="16"/>
          <w:szCs w:val="16"/>
          <w:lang w:val="en-US" w:eastAsia="zh-CN"/>
        </w:rPr>
        <w:t>事实上，</w:t>
      </w:r>
      <w:r>
        <w:rPr>
          <w:sz w:val="16"/>
          <w:szCs w:val="16"/>
        </w:rPr>
        <w:t>领域内尚无研究系统性地将 Kesten 过程的参数空间（冲击概率 p、耗散率 c、加性项分布、边界类型） 与左尾统计特征（衰减指数、双峰性、贫困率波动） 映射起来，更未有人在此空间中搜索可能存在的相变阈值。</w:t>
      </w:r>
    </w:p>
    <w:p w14:paraId="06EB370A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  <w:lang w:val="en-US" w:eastAsia="zh-CN"/>
        </w:rPr>
      </w:pPr>
    </w:p>
    <w:p w14:paraId="713315DE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1.</w:t>
      </w:r>
      <w:r>
        <w:rPr>
          <w:rFonts w:hint="eastAsia" w:ascii="SimHei" w:hAnsi="SimHei" w:eastAsia="SimHei" w:cs="SimHei"/>
          <w:sz w:val="18"/>
          <w:szCs w:val="18"/>
          <w:lang w:val="en-US" w:eastAsia="zh-CN"/>
        </w:rPr>
        <w:t xml:space="preserve">3 </w:t>
      </w:r>
      <w:r>
        <w:rPr>
          <w:rFonts w:hint="eastAsia" w:ascii="SimHei" w:hAnsi="SimHei" w:eastAsia="SimHei" w:cs="SimHei"/>
          <w:sz w:val="18"/>
          <w:szCs w:val="18"/>
        </w:rPr>
        <w:t>研究价值与合适切片</w:t>
      </w:r>
    </w:p>
    <w:p w14:paraId="62696399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如果能在 Kesten 过程的扩展参数空间中定位到一个明确的临界阈值（如 R* = p/c），超过该阈值后左尾形态发生非连续性突变，这将为"底层财富动力学受制于不同机制"提供第一个严格的随机过程证据。这一发现将弥合经济物理学中"热力学分布 vs 幂律分布"的两类描述，为构建统一的财富分布理论奠定基础。</w:t>
      </w:r>
    </w:p>
    <w:p w14:paraId="28919976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AI（Agent）在本项目中不是用来拟合数据的，而是作为高维参数空间的主动探索者。传统的参数扫描是盲目的网格搜索，而 Agent 可以利用反馈信号（左尾衰减指数的变化率）自适应地聚焦临界区域，进行二分法或贝叶斯优化搜索，在有限计算预算（120 次试跑）内高效定位相变点。Agent 还能自主决定切换边界规则（反射/吸收/软夹紧），测试"机制突变"是否由边界条件引起。</w:t>
      </w:r>
    </w:p>
    <w:p w14:paraId="14524F46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本项目不试图"解决贫困"或"完整建模经济"，而是聚焦于一个高度可控的数值实验：在 Kesten 过程框架下，冲击-耗散比值 p/c 与边界条件类型如何共同决定左尾的渐近形态。这个切片具有物理学的清晰性，又具备经济学的现实关联（p 类比社会风险冲击，c 类比生活消费刚性），比赛周期内完全可验证。</w:t>
      </w:r>
    </w:p>
    <w:p w14:paraId="22D94105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</w:rPr>
      </w:pPr>
    </w:p>
    <w:p w14:paraId="6C7324A3">
      <w:pPr>
        <w:rPr>
          <w:rFonts w:hint="eastAsia" w:eastAsia="Microsoft YaHei"/>
          <w:sz w:val="13"/>
          <w:szCs w:val="15"/>
          <w:lang w:val="en-US" w:eastAsia="zh-CN"/>
        </w:rPr>
      </w:pPr>
      <w:r>
        <w:rPr>
          <w:sz w:val="13"/>
          <w:szCs w:val="15"/>
        </w:rPr>
        <w:br w:type="page"/>
      </w:r>
    </w:p>
    <w:p w14:paraId="6FEF0160">
      <w:pPr>
        <w:pStyle w:val="2"/>
        <w:rPr>
          <w:sz w:val="20"/>
          <w:szCs w:val="18"/>
        </w:rPr>
      </w:pPr>
      <w:r>
        <w:rPr>
          <w:sz w:val="20"/>
          <w:szCs w:val="18"/>
        </w:rPr>
        <w:t>二、</w:t>
      </w:r>
      <w:r>
        <w:rPr>
          <w:rFonts w:hint="eastAsia"/>
          <w:sz w:val="20"/>
          <w:szCs w:val="18"/>
        </w:rPr>
        <w:t>环境接口</w:t>
      </w:r>
    </w:p>
    <w:p w14:paraId="686E3F49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2.1固定规则</w:t>
      </w:r>
    </w:p>
    <w:p w14:paraId="187E7529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环境基于扩展的 Kesten 随机过程，模拟一个封闭经济体中 N = 100,000 个个体的财富演化。财富更新方程为 W_i(t+1) = W_i(t) + I_i(t) − c · W_i(t) + ξ_i(t)，其中 I_i(t) 为加性收入项，从固定分布族（可选对数正态、指数或均匀分布）中抽样，分布类型由 Agent 切换但选定后该轮固定；c 为统一消费耗散率（范围 0.01~0.3，Agent 可调）；ξ_i(t) 为随机冲击项，以概率 p（范围 0.001~0.1）发生，发生时将个体财富重置为下界附近的均匀随机值（模拟失业/大病等极端事件）。</w:t>
      </w:r>
    </w:p>
    <w:p w14:paraId="68827DBD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2.2 观察/行动/反馈</w:t>
      </w:r>
    </w:p>
    <w:p w14:paraId="64A005AD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每轮结束后，Agent 获得的观察包括：完整财富分布直方图（左尾切分至中位数以下 500 bins）；左尾衰减指数 β_left（对左尾区间 [min, median/2] 做双对数幂律拟合所得斜率）；贫困率 Poverty_Rate（财富低于固定贫困线 W &lt; 1.0 的个体占比）；以及分布峰度（Kurtosis，衡量双峰性）。</w:t>
      </w:r>
    </w:p>
    <w:p w14:paraId="4AF7F9F0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Agent 每轮只改变一个维度，可选动作为：调整冲击概率 p（步长自适应，重点扫描 0.001~0.1）；调整耗散率 c（步长自适应，重点扫描 0.01~0.3）；切换边界类型（reflect / absorb / soft_clamp）；切换加性收入分布形状（lognormal / exponential / uniform）。</w:t>
      </w:r>
    </w:p>
    <w:p w14:paraId="0BEE5835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每个动作后，环境立即返回本轮 β_left 及其 95% 置信区间（由多种子计算）、与上一轮 β_left 的差值 Δβ、突变检测标志（基于 CUSUM 算法判断 β_left 是否发生非连续性跳跃），以及若检测到突变则返回临界点近似位置 R* = p/c。</w:t>
      </w:r>
    </w:p>
    <w:p w14:paraId="1159813B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  <w:lang w:val="en-US" w:eastAsia="zh-CN"/>
        </w:rPr>
      </w:pPr>
    </w:p>
    <w:p w14:paraId="2914062D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2.3 记录与预算</w:t>
      </w:r>
    </w:p>
    <w:p w14:paraId="7F0705DC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每一轮记录完整元组（round_id, p, c, boundary_type, income_dist, beta_left, beta_ci_low, beta_ci_high, poverty_rate, kurtosis, mutation_flag, r_star, timestamp），日志格式为 CSV 文件，同时保存左尾直方图数据（500 bins）用于事后可视化。</w:t>
      </w:r>
    </w:p>
    <w:p w14:paraId="718DC6BC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单次模拟（N=100,000, T=10,000）使用 NumPy 向量化，耗时约 2.5 秒（普通笔记本 CPU）。Agent 总预算 120 次试跑（含多种子验证），总计算耗时约 6 分钟，完全在比赛周期内可控。日志与直方图数据合计小于 20 MB。</w:t>
      </w:r>
    </w:p>
    <w:p w14:paraId="272D4DC7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  <w:lang w:val="en-US" w:eastAsia="zh-CN"/>
        </w:rPr>
      </w:pPr>
    </w:p>
    <w:p w14:paraId="2715543F">
      <w:pPr>
        <w:pStyle w:val="3"/>
        <w:rPr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br w:type="page"/>
      </w:r>
    </w:p>
    <w:p w14:paraId="7FFB157E">
      <w:pPr>
        <w:pStyle w:val="2"/>
        <w:rPr>
          <w:sz w:val="20"/>
          <w:szCs w:val="18"/>
        </w:rPr>
      </w:pPr>
      <w:r>
        <w:rPr>
          <w:sz w:val="20"/>
          <w:szCs w:val="18"/>
        </w:rPr>
        <w:t>三、</w:t>
      </w:r>
      <w:r>
        <w:rPr>
          <w:rFonts w:hint="eastAsia"/>
          <w:sz w:val="20"/>
          <w:szCs w:val="18"/>
        </w:rPr>
        <w:t>发现信号与参照</w:t>
      </w:r>
    </w:p>
    <w:p w14:paraId="6E43739B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3.1 什么算发现</w:t>
      </w:r>
    </w:p>
    <w:p w14:paraId="181DB177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Agent 在探索过程中，若在某个 R* = p/c 附近，β_left 的变化量超过邻近 5 个点波动标准差的 3 倍，且该跳跃在 ≥4/5 个随机种子中重复出现，则判定为 D1 类相变阈值发现。示例：Agent 发现 p/c ≈ 0.15 时，左尾从 β≈2.1 突变到 β≈3.8，左尾形状从平滑型变为幂律陡峭型。</w:t>
      </w:r>
    </w:p>
    <w:p w14:paraId="3696EBA5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若当切换边界类型时，某种组合（如 absorb + exponential income）稳定产生一个非平凡的第二段幂律（左尾双对数图呈现清晰的二段直线，KS 检验 p &lt; 0.05），则判定为 D2 类边界机制选择发现，表明边界条件本身可以充当"机制开关"。</w:t>
      </w:r>
    </w:p>
    <w:p w14:paraId="65A4D34F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若经过 ≥80 次试跑后，所有参数组合下左尾始终与纯对数正态基线无显著差异（p &gt; 0.05），且多种子验证一致，则记录为 D3 类稳定负结果——即"标准 Kesten 过程足以描述左尾"，这本身排除了当前框架下的相变假设，指引向网络交互模型。</w:t>
      </w:r>
    </w:p>
    <w:p w14:paraId="029E10DE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</w:rPr>
      </w:pPr>
    </w:p>
    <w:p w14:paraId="4464C725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3.2 平凡解/随机/无干预</w:t>
      </w:r>
    </w:p>
    <w:p w14:paraId="054A1C7F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无干预基线固定为 p=0.01, c=0.1, reflect，加性收入为对数正态，运行 10 次取平均 β_left^base，这是 Agent 的起点。随机探索参照方面，Agent 在参数空间内随机游走（不利用反馈，不加权搜索），运行 50 轮，记录其最佳 β_left 变异范围；若自适应 Agent 的表现未显著优于随机游走（t-test p &gt; 0.05），则判定其"探索策略无效"。</w:t>
      </w:r>
    </w:p>
    <w:p w14:paraId="1BC0B4F2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Agent 发现的 D1 或 D2 类信号，必须同时满足：统计上显著优于随机探索基线（p &lt; 0.05），且形态上与理论基线有质的不同（如出现第二段幂律或非连续跳跃）。</w:t>
      </w:r>
    </w:p>
    <w:p w14:paraId="3AC3FC2B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  <w:lang w:val="en-US" w:eastAsia="zh-CN"/>
        </w:rPr>
      </w:pPr>
    </w:p>
    <w:p w14:paraId="4C699CCE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3.3 最低成功与失败标准</w:t>
      </w:r>
    </w:p>
    <w:p w14:paraId="6873109F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最低成功标准为：Agent 在 ≤120 次试跑内至少 1 次检测到 D1 或 D2 类信号，且该信号在 ≥4/5 个随机种子中稳定复现，Agent 的最终探索轨迹必须能用 2~3 句话向领域专家解释清楚"为何在那个参数区间发生了突变"。</w:t>
      </w:r>
    </w:p>
    <w:p w14:paraId="0D34A558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Calibri" w:hAnsi="Calibri" w:eastAsia="Microsoft YaHei"/>
          <w:b/>
          <w:i w:val="0"/>
          <w:color w:val="1F4D78"/>
          <w:sz w:val="13"/>
          <w:szCs w:val="16"/>
          <w:lang w:val="en-US" w:eastAsia="zh-CN"/>
        </w:rPr>
      </w:pPr>
      <w:r>
        <w:rPr>
          <w:sz w:val="16"/>
          <w:szCs w:val="16"/>
        </w:rPr>
        <w:t>明确失败标准为：经过 120 次试跑后未检测到任何稳定信号（即 D1/D2 均未触发，或触发但无法复现），且随机探索基线无法排除。此时 Agent 输出最终报告，结论为"在当前 Kesten 过程框架下未发现左尾相变，建议后续增加网络交互机制或异质代理假设"。</w:t>
      </w:r>
    </w:p>
    <w:p w14:paraId="00C9FB48">
      <w:pPr>
        <w:rPr>
          <w:sz w:val="13"/>
          <w:szCs w:val="15"/>
        </w:rPr>
      </w:pPr>
      <w:r>
        <w:rPr>
          <w:sz w:val="13"/>
          <w:szCs w:val="15"/>
        </w:rPr>
        <w:br w:type="page"/>
      </w:r>
    </w:p>
    <w:p w14:paraId="4DF24F9D">
      <w:pPr>
        <w:pStyle w:val="2"/>
        <w:rPr>
          <w:sz w:val="20"/>
          <w:szCs w:val="18"/>
        </w:rPr>
      </w:pPr>
      <w:r>
        <w:rPr>
          <w:sz w:val="20"/>
          <w:szCs w:val="18"/>
        </w:rPr>
        <w:t>四、</w:t>
      </w:r>
      <w:r>
        <w:rPr>
          <w:rFonts w:hint="eastAsia"/>
          <w:sz w:val="20"/>
          <w:szCs w:val="18"/>
        </w:rPr>
        <w:t>最小验证计划</w:t>
      </w:r>
    </w:p>
    <w:p w14:paraId="522DF1F0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4.1 一次试跑怎么做</w:t>
      </w:r>
    </w:p>
    <w:p w14:paraId="50EF6EED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步骤如下：初始化 N=100,000 个个体的财富值，均匀分布在 [0.1, 1.0] 区间；循环 T=10,000 步，每步按更新方程并行计算所有个体的新财富值，施加下界约束；终止后，截取财富分布中位数以下部分（左尾），对双对数坐标下的左尾区间做线性回归，得到 β_left；重复上述过程 5 个种子，计算 β_left 的均值与 95% 置信区间。</w:t>
      </w:r>
    </w:p>
    <w:p w14:paraId="0563E4B7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预期输出为 beta_left = 2.15 ± 0.12，日志记录完整参数与直方图数据。关键证据记录包括左尾直方图 CSV、β_left 值及运行时长（目标 &lt; 3s）。</w:t>
      </w:r>
    </w:p>
    <w:p w14:paraId="3CB0D217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13"/>
          <w:szCs w:val="15"/>
          <w:lang w:val="en-US" w:eastAsia="zh-CN"/>
        </w:rPr>
      </w:pPr>
    </w:p>
    <w:p w14:paraId="2BDE458E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4.2 主要风险与失败路径</w:t>
      </w:r>
    </w:p>
    <w:p w14:paraId="3656F111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数值稳定性风险方面，极低财富值（&lt;1e-10）与高耗散率组合可能导致数值下溢或爆炸。缓解方式为代码中加入浮点数保护（np.clip 下限），若出现 NaN 则该轮作废并记录，Agent 自动避开极端参数组合。</w:t>
      </w:r>
    </w:p>
    <w:p w14:paraId="3BC79BF3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Agent 陷入局部最优的风险方面，Agent 可能在阈值附近过早收敛，忽略其他参数维度（如边界类型）的可能性。缓解方式为设计多臂探索策略：前 30 轮强制在各参数维度均匀采样，之后才转入自适应聚焦。</w:t>
      </w:r>
    </w:p>
    <w:p w14:paraId="45689C19">
      <w:pPr>
        <w:pStyle w:val="3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sz w:val="16"/>
          <w:szCs w:val="16"/>
        </w:rPr>
      </w:pPr>
      <w:r>
        <w:rPr>
          <w:sz w:val="16"/>
          <w:szCs w:val="16"/>
        </w:rPr>
        <w:t>解释性偏差风险方面，发现相变后可能过度解读为"贫困陷阱的严格物理证据"。缓解方式为在最终报告中将结果定位于"Kesten 过程框架下的数值发现"，明确讨论模型简化假设（如忽略借贷、家庭结构等），不夸大现实结论。</w:t>
      </w:r>
    </w:p>
    <w:p w14:paraId="7487D4F0">
      <w:pPr>
        <w:spacing w:after="100"/>
        <w:ind w:left="173" w:firstLine="0"/>
        <w:rPr>
          <w:sz w:val="13"/>
          <w:szCs w:val="15"/>
        </w:rPr>
      </w:pPr>
    </w:p>
    <w:p w14:paraId="45B26101">
      <w:pPr>
        <w:pStyle w:val="3"/>
        <w:rPr>
          <w:rFonts w:hint="eastAsia" w:ascii="SimHei" w:hAnsi="SimHei" w:eastAsia="SimHei" w:cs="SimHei"/>
          <w:sz w:val="18"/>
          <w:szCs w:val="18"/>
        </w:rPr>
      </w:pPr>
      <w:r>
        <w:rPr>
          <w:rFonts w:hint="eastAsia" w:ascii="SimHei" w:hAnsi="SimHei" w:eastAsia="SimHei" w:cs="SimHei"/>
          <w:sz w:val="18"/>
          <w:szCs w:val="18"/>
        </w:rPr>
        <w:t>4.3 复现与开源计划</w:t>
      </w:r>
    </w:p>
    <w:p w14:paraId="5FD3459D">
      <w:pPr>
        <w:spacing w:after="100"/>
        <w:rPr>
          <w:rFonts w:hint="default"/>
          <w:sz w:val="13"/>
          <w:szCs w:val="15"/>
        </w:rPr>
      </w:pPr>
      <w:r>
        <w:rPr>
          <w:rFonts w:hint="default"/>
          <w:sz w:val="13"/>
          <w:szCs w:val="15"/>
        </w:rPr>
        <w:t>SCF 2022 公开数据（E7）仅用于后验定性对照，不作为环境输入，模拟器不依赖任何外部私有数据。依赖工具仅为 Python 3.9+ 以及 NumPy（数值计算）、Pandas（日志记录）、Matplotlib（可视化），全部为开源且跨平台。克隆代码仓库后，执行 python main.py --mode explore 即可启动 Agent 探索流程；执行 python main.py --mode single --p 0.01 --c 0.1 可复现单次试跑。所有随机种子固定，环境参数在代码开头的 Config 类中明文列出，并提供 Jupyter Notebook 版本的交互式复现指南。项目代码将在比赛结束后以 MIT 协议开源至 GitHub，仓库中包含完整的模拟器、Agent 逻辑、分析脚本及图表生成代码，确保评审可独立复查每一条结论。</w:t>
      </w:r>
    </w:p>
    <w:p w14:paraId="0189DDCE">
      <w:pPr>
        <w:spacing w:after="100"/>
        <w:rPr>
          <w:rFonts w:hint="default"/>
          <w:sz w:val="13"/>
          <w:szCs w:val="15"/>
        </w:rPr>
      </w:pPr>
    </w:p>
    <w:p w14:paraId="2C19F004">
      <w:pPr>
        <w:pStyle w:val="3"/>
        <w:numPr>
          <w:ilvl w:val="0"/>
          <w:numId w:val="7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 w:ascii="SimHei" w:hAnsi="SimHei" w:eastAsia="SimHei" w:cs="SimHei"/>
          <w:sz w:val="21"/>
          <w:szCs w:val="21"/>
          <w:lang w:val="en-US" w:eastAsia="zh-CN"/>
        </w:rPr>
        <w:t>团队介绍</w:t>
      </w:r>
    </w:p>
    <w:p w14:paraId="3EE17C20">
      <w:pPr>
        <w:rPr>
          <w:rFonts w:hint="default" w:eastAsia="Microsoft YaHei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祖安琪，牛津大学物理系。</w:t>
      </w:r>
      <w:r>
        <w:rPr>
          <w:rFonts w:hint="default"/>
          <w:sz w:val="13"/>
          <w:szCs w:val="15"/>
          <w:lang w:val="en-US" w:eastAsia="zh-CN"/>
        </w:rPr>
        <w:t>IMC Prosperity</w:t>
      </w:r>
      <w:r>
        <w:rPr>
          <w:rFonts w:hint="eastAsia"/>
          <w:sz w:val="13"/>
          <w:szCs w:val="15"/>
          <w:lang w:val="en-US" w:eastAsia="zh-CN"/>
        </w:rPr>
        <w:t>量化交易竞赛</w:t>
      </w:r>
      <w:r>
        <w:rPr>
          <w:rFonts w:hint="default"/>
          <w:sz w:val="13"/>
          <w:szCs w:val="15"/>
          <w:lang w:val="en-US" w:eastAsia="zh-CN"/>
        </w:rPr>
        <w:t>global top5%.</w:t>
      </w:r>
      <w:r>
        <w:rPr>
          <w:rFonts w:hint="eastAsia"/>
          <w:sz w:val="13"/>
          <w:szCs w:val="15"/>
          <w:lang w:val="en-US" w:eastAsia="zh-CN"/>
        </w:rPr>
        <w:t xml:space="preserve"> 三度</w:t>
      </w:r>
      <w:bookmarkStart w:id="0" w:name="_GoBack"/>
      <w:bookmarkEnd w:id="0"/>
      <w:r>
        <w:rPr>
          <w:rFonts w:hint="eastAsia"/>
          <w:sz w:val="13"/>
          <w:szCs w:val="15"/>
          <w:lang w:val="en-US" w:eastAsia="zh-CN"/>
        </w:rPr>
        <w:t>黑客松获奖。</w:t>
      </w:r>
    </w:p>
    <w:p w14:paraId="0C68CE15">
      <w:pPr>
        <w:spacing w:after="100"/>
        <w:rPr>
          <w:rFonts w:hint="default"/>
          <w:sz w:val="13"/>
          <w:szCs w:val="15"/>
        </w:rPr>
      </w:pPr>
    </w:p>
    <w:sectPr>
      <w:headerReference r:id="rId5" w:type="default"/>
      <w:footerReference r:id="rId6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18"/>
      <w:jc w:val="right"/>
    </w:pPr>
    <w:r>
      <w:rPr>
        <w:rFonts w:ascii="Calibri" w:hAnsi="Calibri" w:eastAsia="Microsoft YaHei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Microsoft YaHei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DBDBE"/>
    <w:multiLevelType w:val="singleLevel"/>
    <w:tmpl w:val="F96DBDB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F3B35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  <w:rsid w:val="713F6DEB"/>
    <w:rsid w:val="B19552B0"/>
    <w:rsid w:val="B5F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1</TotalTime>
  <ScaleCrop>false</ScaleCrop>
  <LinksUpToDate>false</LinksUpToDate>
  <CharactersWithSpaces>785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桃之夭夭 锁心</cp:lastModifiedBy>
  <dcterms:modified xsi:type="dcterms:W3CDTF">2026-08-05T16:56:08Z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1033-12.1.25867.25867</vt:lpwstr>
  </property>
  <property fmtid="{D5CDD505-2E9C-101B-9397-08002B2CF9AE}" pid="4" name="ICV">
    <vt:lpwstr>6FD050BDE3104BA2BE257A8281518AEF_13</vt:lpwstr>
  </property>
</Properties>
</file>