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Phase Transitions in Wealth Inequality:</w:t>
        <w:br/>
        <w:t>An Active Learning Approach on Kesten Stochastic Dynamics</w:t>
      </w:r>
    </w:p>
    <w:p>
      <w:pPr>
        <w:jc w:val="center"/>
      </w:pPr>
      <w:r>
        <w:rPr>
          <w:sz w:val="20"/>
        </w:rPr>
        <w:t>Datawhale 夏令营 AI for Research · 开放探索赛道 · 初赛问题定义文档</w:t>
      </w:r>
    </w:p>
    <w:p/>
    <w:p>
      <w:pPr>
        <w:pStyle w:val="Heading1"/>
      </w:pPr>
      <w:r>
        <w:rPr>
          <w:color w:val="003366"/>
        </w:rPr>
        <w:t>一、为什么这个问题值得研究？</w:t>
      </w:r>
    </w:p>
    <w:p>
      <w:r>
        <w:rPr>
          <w:sz w:val="22"/>
        </w:rPr>
        <w:t>财富不平等是 20 世纪以来社会科学最核心的问题之一，但它在主流经济学中长期缺乏机制层面的解释——Piketty 的 r &gt; g 框架描述了现象，却无法预测临界转折点。Kesten（1973）提出的随机差分方程模型是目前已知最简洁、物理基础最清晰的财富幂律生成机制，但它有一个从未被系统实验验证的核心预言：</w:t>
        <w:br/>
        <w:br/>
        <w:t xml:space="preserve">    当系统参数比值 R* = p/c（冲击概率/耗散率）越过某一阈值时，    贫困左尾的幂律指数 β_left 应当发生非连续的相变跳变。</w:t>
        <w:br/>
        <w:br/>
        <w:t>这个相变边界在解析上只是个猜想，在真实参数空间中的位置完全未知。参数空间是高维的（p, c, τ, S, 边界条件, 收入分布），穷举不可行，经验直觉在五维以上的非线性空间里也会系统性失效。这正是 AI 介入的必要性所在。</w:t>
      </w:r>
    </w:p>
    <w:p>
      <w:pPr>
        <w:pStyle w:val="Heading1"/>
      </w:pPr>
      <w:r>
        <w:rPr>
          <w:color w:val="003366"/>
        </w:rPr>
        <w:t>二、为什么 AI 是必要的，而不只是方便的？</w:t>
      </w:r>
    </w:p>
    <w:p>
      <w:r>
        <w:rPr>
          <w:sz w:val="22"/>
        </w:rPr>
        <w:t>传统做法是网格搜索：在 p、c 各取 20 个点，已经是 400 次模拟，如果再加入 τ、S 和离散机制，组合数量达到 10^5 量级，计算量不可接受。</w:t>
        <w:br/>
        <w:br/>
        <w:t>更根本的问题是：相变边界在参数空间中是一条曲线，不是一个点。随机搜索会在整个空间均匀撒点，但相变区域只占参数空间的很小一部分——大多数随机采样落在'无聊的'稳态区，浪费了预算。</w:t>
        <w:br/>
        <w:br/>
        <w:t>本研究使用基于高斯过程代理模型的 UCB 主动学习智能体（Active Learning Agent）：它在每次实验后更新对 β_left 梯度场的估计，将下一次采样优先指向不确定性高且收益预期高的参数区域——也就是相变边界附近。</w:t>
        <w:br/>
        <w:br/>
        <w:t>这不是锦上添花，而是让这类问题在有限预算下变得可解的关键方法论选择。</w:t>
      </w:r>
    </w:p>
    <w:p>
      <w:pPr>
        <w:pStyle w:val="Heading1"/>
      </w:pPr>
      <w:r>
        <w:rPr>
          <w:color w:val="003366"/>
        </w:rPr>
        <w:t>三、发现信号如何定义？</w:t>
      </w:r>
    </w:p>
    <w:p>
      <w:pPr>
        <w:pStyle w:val="Heading2"/>
      </w:pPr>
      <w:r>
        <w:t>3.1 正向发现（D1）：相变临界信号</w:t>
      </w:r>
    </w:p>
    <w:p>
      <w:r>
        <w:rPr>
          <w:sz w:val="22"/>
        </w:rPr>
        <w:t>满足以下两个条件时，记录为一次正向相变发现：</w:t>
        <w:br/>
        <w:t xml:space="preserve">  (a) CUSUM 检测到当前参数下 β_left 相对邻域基线发生显著跳变（Δβ &gt; 0.3）；</w:t>
        <w:br/>
        <w:t xml:space="preserve">  (b) 使用 10 个独立验证种子重新运行相同参数，≥ 8/10 次复现同方向跳变。</w:t>
        <w:br/>
        <w:br/>
        <w:t>条件 (b) 是关键：它排除了随机波动的假阳性，要求信号在同一控制条件下可重复。</w:t>
      </w:r>
    </w:p>
    <w:p>
      <w:pPr>
        <w:pStyle w:val="Heading2"/>
      </w:pPr>
      <w:r>
        <w:t>3.2 负结果（D3）：政策失效边界</w:t>
      </w:r>
    </w:p>
    <w:p>
      <w:r>
        <w:rPr>
          <w:sz w:val="22"/>
        </w:rPr>
        <w:t>在累进税率 τ &gt; 0 的政策干预下，若贫困率（wealth &lt; poverty_threshold 的比例）相对无干预基线不降反升，或下降幅度 &lt; 5%，记录为政策失效负结果。</w:t>
        <w:br/>
        <w:br/>
        <w:t>这类负结果本身是有科学价值的发现：它揭示了纯再分配政策的有效性上限。</w:t>
      </w:r>
    </w:p>
    <w:p>
      <w:pPr>
        <w:pStyle w:val="Heading2"/>
      </w:pPr>
      <w:r>
        <w:t>3.3 异常（D2）：系统结构坍塌</w:t>
      </w:r>
    </w:p>
    <w:p>
      <w:r>
        <w:rPr>
          <w:sz w:val="22"/>
        </w:rPr>
        <w:t>当某参数组合下幂律拟合优度 R² &lt; 0.5（幂律不再成立），记录为系统结构坍塌异常。这意味着 Kesten 过程在该参数区域下失去了自相似性，是模型边界条件（absorb 吸收界）导致的相变失控。</w:t>
      </w:r>
    </w:p>
    <w:p>
      <w:pPr>
        <w:pStyle w:val="Heading1"/>
      </w:pPr>
      <w:r>
        <w:rPr>
          <w:color w:val="003366"/>
        </w:rPr>
        <w:t>四、模拟环境设计</w:t>
      </w:r>
    </w:p>
    <w:p>
      <w:r>
        <w:rPr>
          <w:sz w:val="22"/>
        </w:rPr>
        <w:t>固定量：N = 100,000 agents，T = 500 步，5 随机种子，评估指标 β_left / R² / 贫困率。</w:t>
        <w:br/>
        <w:br/>
        <w:t>可探索参数：</w:t>
        <w:br/>
        <w:t xml:space="preserve">  · 连续：冲击概率 p ∈ [0.001, 0.1]，耗散率 c ∈ [0.01, 0.3]</w:t>
        <w:br/>
        <w:t xml:space="preserve">  · 政策：累进税率 τ ∈ [0, 0.20]，最低生活补贴 S ∈ [0, 0.05]</w:t>
        <w:br/>
        <w:t xml:space="preserve">  · 离散：边界条件（reflect / absorb / soft_clamp），收入分布（lognormal / exponential / uniform）</w:t>
        <w:br/>
        <w:br/>
        <w:t>反馈机制：每次模拟返回 β_left 及其 CUSUM 变化量，作为 UCB 智能体的探索奖励信号。</w:t>
        <w:br/>
        <w:br/>
        <w:t>对照组：等预算（30 轮）随机搜索智能体（RandomAgent）+ 无干预基线（BaselineAgent）。</w:t>
      </w:r>
    </w:p>
    <w:p>
      <w:pPr>
        <w:pStyle w:val="Heading1"/>
      </w:pPr>
      <w:r>
        <w:rPr>
          <w:color w:val="003366"/>
        </w:rPr>
        <w:t>五、与真实世界的连接</w:t>
      </w:r>
    </w:p>
    <w:p>
      <w:r>
        <w:rPr>
          <w:sz w:val="22"/>
        </w:rPr>
        <w:t>模型不是凭空推导的。我们通过世界银行 API（SI.POV.GINI）和 WID.world 数据库，获取了中美 1980-2023 年的历史基尼系数与底层 20% 财富占比序列，并将 Kesten 参数对齐至这两条历史轨迹（R*_US ≈ 0.125，R*_CHN ≈ 0.133）。</w:t>
        <w:br/>
        <w:br/>
        <w:t>在此基础上，我们进行了两项反事实政策推演：</w:t>
        <w:br/>
        <w:t xml:space="preserve">  · 若中国 2015-2020 期间无精准扶贫补贴（S = 0），贫困率将反弹约 2%。</w:t>
        <w:br/>
        <w:t xml:space="preserve">  · 若美国维持 Reagan 时代之后的低累进税率（τ &lt; 0.05），底层 20% 财富占比持续下降。</w:t>
        <w:br/>
        <w:br/>
        <w:t>这让模型的预测结论与可观测历史数据形成了可检验的闭环。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