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C09" w14:textId="77777777" w:rsidR="00FC558D" w:rsidRPr="00FC558D" w:rsidRDefault="00FC558D" w:rsidP="00FC558D">
      <w:pPr>
        <w:shd w:val="clear" w:color="auto" w:fill="FFF1E0"/>
        <w:spacing w:before="150" w:after="150" w:line="353" w:lineRule="atLeast"/>
        <w:outlineLvl w:val="1"/>
        <w:rPr>
          <w:rFonts w:ascii="Times New Roman" w:eastAsia="Times New Roman" w:hAnsi="Times New Roman" w:cs="Times New Roman"/>
          <w:b/>
          <w:bCs/>
          <w:color w:val="1A1816"/>
          <w:sz w:val="29"/>
          <w:szCs w:val="29"/>
          <w:lang w:val="es-AR"/>
        </w:rPr>
      </w:pPr>
      <w:bookmarkStart w:id="0" w:name="_GoBack"/>
      <w:r w:rsidRPr="00FC558D">
        <w:rPr>
          <w:rFonts w:ascii="Times New Roman" w:eastAsia="Times New Roman" w:hAnsi="Times New Roman" w:cs="Times New Roman"/>
          <w:b/>
          <w:bCs/>
          <w:color w:val="1A1816"/>
          <w:sz w:val="29"/>
          <w:szCs w:val="29"/>
          <w:lang w:val="es-AR"/>
        </w:rPr>
        <w:t>Sube el IPC en marzo en Argentina</w:t>
      </w:r>
    </w:p>
    <w:bookmarkEnd w:id="0"/>
    <w:p w14:paraId="6624F1B3" w14:textId="77777777" w:rsidR="00FC558D" w:rsidRPr="00FC558D" w:rsidRDefault="00FC558D" w:rsidP="00FC558D">
      <w:pPr>
        <w:shd w:val="clear" w:color="auto" w:fill="FFF1E0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  <w:r w:rsidRPr="00FC558D">
        <w:rPr>
          <w:rFonts w:ascii="Arial" w:eastAsia="Times New Roman" w:hAnsi="Arial" w:cs="Arial"/>
          <w:color w:val="333333"/>
          <w:sz w:val="21"/>
          <w:szCs w:val="21"/>
          <w:lang w:val="es-AR"/>
        </w:rPr>
        <w:t>La tasa de variación anual del IPC en </w:t>
      </w:r>
      <w:hyperlink r:id="rId5" w:history="1"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>Argentina</w:t>
        </w:r>
      </w:hyperlink>
      <w:r w:rsidRPr="00FC558D">
        <w:rPr>
          <w:rFonts w:ascii="Arial" w:eastAsia="Times New Roman" w:hAnsi="Arial" w:cs="Arial"/>
          <w:color w:val="333333"/>
          <w:sz w:val="21"/>
          <w:szCs w:val="21"/>
          <w:lang w:val="es-AR"/>
        </w:rPr>
        <w:t> en marzo de 2019 ha sido del 54,7%, 34 décimas superior a la del mes anterior. La variación mensual del IPC (Índice de Precios al Consumo) ha sido del 4,7%, de forma que la inflación acumulada en 2019 es del 11,8%.</w:t>
      </w:r>
    </w:p>
    <w:p w14:paraId="32595537" w14:textId="77777777" w:rsidR="00FC558D" w:rsidRPr="00FC558D" w:rsidRDefault="00FC558D" w:rsidP="00FC558D">
      <w:pPr>
        <w:shd w:val="clear" w:color="auto" w:fill="FFF1E0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  <w:r w:rsidRPr="00FC558D">
        <w:rPr>
          <w:rFonts w:ascii="Arial" w:eastAsia="Times New Roman" w:hAnsi="Arial" w:cs="Arial"/>
          <w:color w:val="333333"/>
          <w:sz w:val="21"/>
          <w:szCs w:val="21"/>
          <w:lang w:val="es-AR"/>
        </w:rPr>
        <w:t>Hay que destacar la subida del 17,9% de los precios de Enseñanza, hasta situarse su tasa interanual en el 36,5%, que contrasta con el descenso de los precios de Ocio y Cultura del 2%, y una variación interanual del 46,3%.</w:t>
      </w:r>
    </w:p>
    <w:p w14:paraId="2826FC1E" w14:textId="77777777" w:rsidR="00FC558D" w:rsidRPr="00FC558D" w:rsidRDefault="00FC558D" w:rsidP="00FC558D">
      <w:pPr>
        <w:shd w:val="clear" w:color="auto" w:fill="FFF1E0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  <w:r w:rsidRPr="00FC558D">
        <w:rPr>
          <w:rFonts w:ascii="Arial" w:eastAsia="Times New Roman" w:hAnsi="Arial" w:cs="Arial"/>
          <w:color w:val="333333"/>
          <w:sz w:val="21"/>
          <w:szCs w:val="21"/>
          <w:lang w:val="es-AR"/>
        </w:rPr>
        <w:t>En esta página te mostramos la evolución del IPC en Argentina. Puedes ver la inflación en otros países en </w:t>
      </w:r>
      <w:hyperlink r:id="rId6" w:history="1"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>IPC</w:t>
        </w:r>
      </w:hyperlink>
      <w:r w:rsidRPr="00FC558D">
        <w:rPr>
          <w:rFonts w:ascii="Arial" w:eastAsia="Times New Roman" w:hAnsi="Arial" w:cs="Arial"/>
          <w:color w:val="333333"/>
          <w:sz w:val="21"/>
          <w:szCs w:val="21"/>
          <w:lang w:val="es-AR"/>
        </w:rPr>
        <w:t> y ver toda la información sobre Argentina en </w:t>
      </w:r>
      <w:hyperlink r:id="rId7" w:history="1"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>Economía de Argentina</w:t>
        </w:r>
      </w:hyperlink>
    </w:p>
    <w:p w14:paraId="7AA2DC44" w14:textId="77777777" w:rsidR="00FC558D" w:rsidRPr="00FC558D" w:rsidRDefault="00FC558D" w:rsidP="00FC558D">
      <w:pPr>
        <w:shd w:val="clear" w:color="auto" w:fill="FFF1E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</w:p>
    <w:p w14:paraId="54E926F2" w14:textId="77777777" w:rsidR="00FC558D" w:rsidRPr="00FC558D" w:rsidRDefault="00FC558D" w:rsidP="00FC558D">
      <w:pPr>
        <w:shd w:val="clear" w:color="auto" w:fill="4E80C0"/>
        <w:spacing w:after="0" w:line="242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FC558D">
        <w:rPr>
          <w:rFonts w:ascii="Arial" w:eastAsia="Times New Roman" w:hAnsi="Arial" w:cs="Arial"/>
          <w:b/>
          <w:bCs/>
          <w:color w:val="FFFFFF"/>
          <w:sz w:val="21"/>
          <w:szCs w:val="21"/>
        </w:rPr>
        <w:t xml:space="preserve">IPC General Argentina </w:t>
      </w:r>
      <w:proofErr w:type="spellStart"/>
      <w:r w:rsidRPr="00FC558D">
        <w:rPr>
          <w:rFonts w:ascii="Arial" w:eastAsia="Times New Roman" w:hAnsi="Arial" w:cs="Arial"/>
          <w:b/>
          <w:bCs/>
          <w:color w:val="FFFFFF"/>
          <w:sz w:val="21"/>
          <w:szCs w:val="21"/>
        </w:rPr>
        <w:t>Marzo</w:t>
      </w:r>
      <w:proofErr w:type="spellEnd"/>
      <w:r w:rsidRPr="00FC558D">
        <w:rPr>
          <w:rFonts w:ascii="Arial" w:eastAsia="Times New Roman" w:hAnsi="Arial" w:cs="Arial"/>
          <w:b/>
          <w:bCs/>
          <w:color w:val="FFFFFF"/>
          <w:sz w:val="21"/>
          <w:szCs w:val="21"/>
        </w:rPr>
        <w:t xml:space="preserve"> 2019</w:t>
      </w:r>
    </w:p>
    <w:tbl>
      <w:tblPr>
        <w:tblW w:w="10300" w:type="dxa"/>
        <w:tblBorders>
          <w:top w:val="single" w:sz="6" w:space="0" w:color="B8B2AD"/>
          <w:left w:val="single" w:sz="6" w:space="0" w:color="B8B2AD"/>
          <w:bottom w:val="single" w:sz="6" w:space="0" w:color="B8B2AD"/>
          <w:right w:val="single" w:sz="6" w:space="0" w:color="B8B2A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607"/>
        <w:gridCol w:w="1860"/>
        <w:gridCol w:w="607"/>
        <w:gridCol w:w="1860"/>
        <w:gridCol w:w="607"/>
        <w:gridCol w:w="1860"/>
      </w:tblGrid>
      <w:tr w:rsidR="00FC558D" w:rsidRPr="00FC558D" w14:paraId="2440D491" w14:textId="77777777" w:rsidTr="00FC558D">
        <w:trPr>
          <w:tblHeader/>
        </w:trPr>
        <w:tc>
          <w:tcPr>
            <w:tcW w:w="0" w:type="auto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7F0B4" w14:textId="77777777" w:rsidR="00FC558D" w:rsidRPr="00FC558D" w:rsidRDefault="00FC558D" w:rsidP="00FC558D">
            <w:pPr>
              <w:spacing w:after="300" w:line="16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9D43F" w14:textId="77777777" w:rsidR="00FC558D" w:rsidRPr="00FC558D" w:rsidRDefault="00FC558D" w:rsidP="00FC558D">
            <w:pPr>
              <w:spacing w:after="300" w:line="16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proofErr w:type="spellStart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Interanual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07131" w14:textId="77777777" w:rsidR="00FC558D" w:rsidRPr="00FC558D" w:rsidRDefault="00FC558D" w:rsidP="00FC558D">
            <w:pPr>
              <w:spacing w:after="300" w:line="16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proofErr w:type="spellStart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Acum</w:t>
            </w:r>
            <w:proofErr w:type="spellEnd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 xml:space="preserve">. </w:t>
            </w:r>
            <w:proofErr w:type="spellStart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desde</w:t>
            </w:r>
            <w:proofErr w:type="spellEnd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Enero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34BD5" w14:textId="77777777" w:rsidR="00FC558D" w:rsidRPr="00FC558D" w:rsidRDefault="00FC558D" w:rsidP="00FC558D">
            <w:pPr>
              <w:spacing w:after="300" w:line="16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proofErr w:type="spellStart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Variación</w:t>
            </w:r>
            <w:proofErr w:type="spellEnd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mensual</w:t>
            </w:r>
            <w:proofErr w:type="spellEnd"/>
          </w:p>
        </w:tc>
      </w:tr>
      <w:tr w:rsidR="00FC558D" w:rsidRPr="00FC558D" w14:paraId="4F2AC439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77C44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8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IPC General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226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54,7%</w:t>
            </w:r>
          </w:p>
        </w:tc>
        <w:tc>
          <w:tcPr>
            <w:tcW w:w="1860" w:type="dxa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ECFB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439B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11,8%</w:t>
            </w:r>
          </w:p>
        </w:tc>
        <w:tc>
          <w:tcPr>
            <w:tcW w:w="1860" w:type="dxa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7C45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48F7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4,7%</w:t>
            </w:r>
          </w:p>
        </w:tc>
        <w:tc>
          <w:tcPr>
            <w:tcW w:w="1860" w:type="dxa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132E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7CC4C75A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6A5BC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s-AR"/>
              </w:rPr>
            </w:pPr>
            <w:hyperlink r:id="rId9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  <w:lang w:val="es-AR"/>
                </w:rPr>
                <w:t>Alimentos y bebidas no alcohólicas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0EDC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64,0%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E7B8D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6BA0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15,8%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B3DF0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3FE2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6,0%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9C91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61C13C12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0D0E4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0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Bebidas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alcohólicas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tabaco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84C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34,9%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4D13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AD55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10,2%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64FF3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62114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FC33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61C5D145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A5AC6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1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Vestido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calzado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94EC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38,3%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FCA8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9C40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7,0%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3489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3C9B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6,6%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DCEDD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066C6DC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A2DDD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2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Vivienda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E636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55,8%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86AD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6AC30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12,8%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8AC9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20023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C0C0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0511EB8C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796B3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3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Menaje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D346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53,0%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F67E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1A34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9,5%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24BB0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E77C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6DDA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43A1CAD9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5FCDB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4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Medicina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2215B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56,0%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69FC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C4CF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9,6%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177F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54A9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ADA9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5F78C19B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FB7E8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5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Transporte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F074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67,5%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76AB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5B73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9,1%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3610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DF02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4,2%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210B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6B89284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831D3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6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Comunicaciones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C2F4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54,1%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FEAB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CB35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13,3%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80AC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28B1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4,4%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016D3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678D520D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9A114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7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Ocio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Cultura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54EE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46,3%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127E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4619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7,9%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FEEA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3B45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968F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7902696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1BA01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8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Enseñanza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986C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36,5%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5BA3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5DC7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20,6%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7D78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48AD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17,9%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F65C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219B5DC5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5112D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9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Hoteles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, cafés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restaurantes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0A62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45,8%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389A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490D3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12,2%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4E19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F504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74EE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DE922DC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92495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0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Otros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bienes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servicios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D560D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59,0%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AF61B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04B4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10,1%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53BC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3690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2328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3F231336" w14:textId="77777777" w:rsidTr="00FC558D">
        <w:tc>
          <w:tcPr>
            <w:tcW w:w="0" w:type="auto"/>
            <w:gridSpan w:val="7"/>
            <w:tcBorders>
              <w:top w:val="single" w:sz="6" w:space="0" w:color="B8B2AD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B2625" w14:textId="77777777" w:rsidR="00FC558D" w:rsidRPr="00FC558D" w:rsidRDefault="00FC558D" w:rsidP="00FC558D">
            <w:pPr>
              <w:spacing w:after="300" w:line="24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1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&lt; IPC General 2019-02</w:t>
              </w:r>
            </w:hyperlink>
          </w:p>
        </w:tc>
      </w:tr>
    </w:tbl>
    <w:p w14:paraId="3FA4DA2E" w14:textId="77777777" w:rsidR="00FC558D" w:rsidRPr="00FC558D" w:rsidRDefault="00FC558D" w:rsidP="00FC558D">
      <w:pPr>
        <w:shd w:val="clear" w:color="auto" w:fill="4E80C0"/>
        <w:spacing w:after="0" w:line="242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FC558D">
        <w:rPr>
          <w:rFonts w:ascii="Arial" w:eastAsia="Times New Roman" w:hAnsi="Arial" w:cs="Arial"/>
          <w:b/>
          <w:bCs/>
          <w:color w:val="FFFFFF"/>
          <w:sz w:val="21"/>
          <w:szCs w:val="21"/>
        </w:rPr>
        <w:t xml:space="preserve">Argentina: IPC General </w:t>
      </w:r>
      <w:proofErr w:type="spellStart"/>
      <w:r w:rsidRPr="00FC558D">
        <w:rPr>
          <w:rFonts w:ascii="Arial" w:eastAsia="Times New Roman" w:hAnsi="Arial" w:cs="Arial"/>
          <w:b/>
          <w:bCs/>
          <w:color w:val="FFFFFF"/>
          <w:sz w:val="21"/>
          <w:szCs w:val="21"/>
        </w:rPr>
        <w:t>anual</w:t>
      </w:r>
      <w:proofErr w:type="spellEnd"/>
    </w:p>
    <w:tbl>
      <w:tblPr>
        <w:tblW w:w="10300" w:type="dxa"/>
        <w:tblBorders>
          <w:top w:val="single" w:sz="6" w:space="0" w:color="B8B2AD"/>
          <w:left w:val="single" w:sz="6" w:space="0" w:color="B8B2AD"/>
          <w:bottom w:val="single" w:sz="6" w:space="0" w:color="B8B2AD"/>
          <w:right w:val="single" w:sz="6" w:space="0" w:color="B8B2A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  <w:gridCol w:w="971"/>
        <w:gridCol w:w="1860"/>
        <w:gridCol w:w="971"/>
        <w:gridCol w:w="1860"/>
      </w:tblGrid>
      <w:tr w:rsidR="00FC558D" w:rsidRPr="00FC558D" w14:paraId="429372B4" w14:textId="77777777" w:rsidTr="00FC558D">
        <w:trPr>
          <w:tblHeader/>
        </w:trPr>
        <w:tc>
          <w:tcPr>
            <w:tcW w:w="0" w:type="auto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2EF34" w14:textId="77777777" w:rsidR="00FC558D" w:rsidRPr="00FC558D" w:rsidRDefault="00FC558D" w:rsidP="00FC558D">
            <w:pPr>
              <w:shd w:val="clear" w:color="auto" w:fill="4E80C0"/>
              <w:spacing w:after="0" w:line="242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F6539" w14:textId="77777777" w:rsidR="00FC558D" w:rsidRPr="00FC558D" w:rsidRDefault="00FC558D" w:rsidP="00FC558D">
            <w:pPr>
              <w:spacing w:after="300" w:line="16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 2018 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B8B2AD"/>
              <w:bottom w:val="single" w:sz="6" w:space="0" w:color="B8B2AD"/>
              <w:right w:val="single" w:sz="6" w:space="0" w:color="B8B2AD"/>
            </w:tcBorders>
            <w:shd w:val="clear" w:color="auto" w:fill="FFFD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B128D" w14:textId="77777777" w:rsidR="00FC558D" w:rsidRPr="00FC558D" w:rsidRDefault="00FC558D" w:rsidP="00FC558D">
            <w:pPr>
              <w:spacing w:after="300" w:line="16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 2017 </w:t>
            </w:r>
          </w:p>
        </w:tc>
      </w:tr>
      <w:tr w:rsidR="00FC558D" w:rsidRPr="00FC558D" w14:paraId="1ECC20F8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4482C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2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IPC General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17F3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47,7%</w:t>
            </w:r>
          </w:p>
        </w:tc>
        <w:tc>
          <w:tcPr>
            <w:tcW w:w="1860" w:type="dxa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A933D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F435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24,8%</w:t>
            </w:r>
          </w:p>
        </w:tc>
        <w:tc>
          <w:tcPr>
            <w:tcW w:w="1860" w:type="dxa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7DCB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0523E34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98990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s-AR"/>
              </w:rPr>
            </w:pPr>
            <w:hyperlink r:id="rId23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  <w:lang w:val="es-AR"/>
                </w:rPr>
                <w:t>Alimentos y bebidas no alcohólicas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F070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51,2%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D1D04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EDFE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20,4%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02BE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4DA18237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90438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4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Bebidas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alcohólicas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tabaco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39C14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28,3%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78CE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210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23,7%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102B3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3A166C61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D551E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5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Vestido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calzado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7314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33,1%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A07F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FAD9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16,6%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49D6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28AD6D2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88C6C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6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Vivienda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FD424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45,7%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A38C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1F48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55,6%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DBF25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74890571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FEABC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7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Menaje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D343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50,0%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82C6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CDEF0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17,4%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15D6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5019EDA6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2B5C3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8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Medicina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3E17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50,2%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D741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B526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27,8%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3F34F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337E2035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ECBE1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9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Transporte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030A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66,8%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868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0DFA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20,6%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0F83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4FA4CDBD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651C5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0" w:history="1"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Comunicaciones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BB51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55,3%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F8BA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E2E9D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34,1%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EEA7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D61E7A8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59997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1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Ocio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Cultura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1E5B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43,4%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739C3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FB254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22,8%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8F4BE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66545479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0C836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2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Enseñanza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D9197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32,1%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71CC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6FC3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31,5%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6BD99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5E6A80A2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98125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3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Hoteles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, cafés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restaurantes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C4FEB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39,0%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2BE4B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B0781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22,1%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BCBE8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FC558D" w:rsidRPr="00FC558D" w14:paraId="11CC5C65" w14:textId="77777777" w:rsidTr="00FC558D"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5C2B5" w14:textId="77777777" w:rsidR="00FC558D" w:rsidRPr="00FC558D" w:rsidRDefault="00FC558D" w:rsidP="00FC558D">
            <w:pPr>
              <w:spacing w:after="30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4" w:history="1"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Otros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bienes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y </w:t>
              </w:r>
              <w:proofErr w:type="spellStart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>servicios</w:t>
              </w:r>
              <w:proofErr w:type="spellEnd"/>
              <w:r w:rsidRPr="00FC558D">
                <w:rPr>
                  <w:rFonts w:ascii="Times New Roman" w:eastAsia="Times New Roman" w:hAnsi="Times New Roman" w:cs="Times New Roman"/>
                  <w:color w:val="305B96"/>
                  <w:sz w:val="17"/>
                  <w:szCs w:val="17"/>
                  <w:u w:val="single"/>
                </w:rPr>
                <w:t xml:space="preserve"> [+]</w:t>
              </w:r>
            </w:hyperlink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B7D42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53,2%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2F36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CE31C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FC558D">
              <w:rPr>
                <w:rFonts w:ascii="Times New Roman" w:eastAsia="Times New Roman" w:hAnsi="Times New Roman" w:cs="Times New Roman"/>
                <w:sz w:val="17"/>
                <w:szCs w:val="17"/>
              </w:rPr>
              <w:t>19,8%</w:t>
            </w:r>
          </w:p>
        </w:tc>
        <w:tc>
          <w:tcPr>
            <w:tcW w:w="0" w:type="auto"/>
            <w:tcBorders>
              <w:top w:val="single" w:sz="6" w:space="0" w:color="B8B2AD"/>
            </w:tcBorders>
            <w:shd w:val="clear" w:color="auto" w:fill="F0E4D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A7BA" w14:textId="77777777" w:rsidR="00FC558D" w:rsidRPr="00FC558D" w:rsidRDefault="00FC558D" w:rsidP="00FC558D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68014FA7" w14:textId="77777777" w:rsidR="00FC558D" w:rsidRPr="00FC558D" w:rsidRDefault="00FC558D" w:rsidP="00FC558D">
      <w:pPr>
        <w:shd w:val="clear" w:color="auto" w:fill="FFF1E0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  <w:hyperlink r:id="rId35" w:tooltip="Ir a la página anterior" w:history="1"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 xml:space="preserve">‹ IPC de </w:t>
        </w:r>
        <w:proofErr w:type="spellStart"/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>Angola</w:t>
        </w:r>
      </w:hyperlink>
      <w:hyperlink r:id="rId36" w:tooltip="Ir a la página siguiente" w:history="1"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>IPC</w:t>
        </w:r>
        <w:proofErr w:type="spellEnd"/>
        <w:r w:rsidRPr="00FC558D">
          <w:rPr>
            <w:rFonts w:ascii="Arial" w:eastAsia="Times New Roman" w:hAnsi="Arial" w:cs="Arial"/>
            <w:color w:val="305B96"/>
            <w:sz w:val="21"/>
            <w:szCs w:val="21"/>
            <w:u w:val="single"/>
            <w:lang w:val="es-AR"/>
          </w:rPr>
          <w:t xml:space="preserve"> de Australia ›</w:t>
        </w:r>
      </w:hyperlink>
    </w:p>
    <w:p w14:paraId="16F20F3A" w14:textId="77777777" w:rsidR="00FC558D" w:rsidRPr="00FC558D" w:rsidRDefault="00FC558D" w:rsidP="00FC558D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FC55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772FFF" w14:textId="2CC2039C" w:rsidR="00752563" w:rsidRPr="00FC558D" w:rsidRDefault="00FC558D" w:rsidP="00FC5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52563" w:rsidRPr="00FC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67F1"/>
    <w:multiLevelType w:val="multilevel"/>
    <w:tmpl w:val="AB8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780541"/>
    <w:rsid w:val="008A5C88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8A40"/>
  <w15:chartTrackingRefBased/>
  <w15:docId w15:val="{184D43BE-2C70-4135-96DE-13842E72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5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58D"/>
    <w:rPr>
      <w:color w:val="0000FF"/>
      <w:u w:val="single"/>
    </w:rPr>
  </w:style>
  <w:style w:type="paragraph" w:customStyle="1" w:styleId="translationen">
    <w:name w:val="translation_en"/>
    <w:basedOn w:val="Normal"/>
    <w:rsid w:val="00FC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lationfr">
    <w:name w:val="translation_fr"/>
    <w:basedOn w:val="Normal"/>
    <w:rsid w:val="00FC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lationpt">
    <w:name w:val="translation_pt"/>
    <w:basedOn w:val="Normal"/>
    <w:rsid w:val="00FC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71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314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829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962">
              <w:marLeft w:val="0"/>
              <w:marRight w:val="0"/>
              <w:marTop w:val="0"/>
              <w:marBottom w:val="150"/>
              <w:divBdr>
                <w:top w:val="single" w:sz="6" w:space="4" w:color="B7B1AB"/>
                <w:left w:val="none" w:sz="0" w:space="0" w:color="auto"/>
                <w:bottom w:val="single" w:sz="6" w:space="4" w:color="B7B1A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macro.expansion.com/ipc-paises/argentina?sector=IPC+General&amp;sc=IPC-IG" TargetMode="External"/><Relationship Id="rId13" Type="http://schemas.openxmlformats.org/officeDocument/2006/relationships/hyperlink" Target="https://datosmacro.expansion.com/ipc-paises/argentina?sector=Menaje&amp;sc=IPC-Mj" TargetMode="External"/><Relationship Id="rId18" Type="http://schemas.openxmlformats.org/officeDocument/2006/relationships/hyperlink" Target="https://datosmacro.expansion.com/ipc-paises/argentina?sector=Ense%C3%B1anza&amp;sc=IPC-E" TargetMode="External"/><Relationship Id="rId26" Type="http://schemas.openxmlformats.org/officeDocument/2006/relationships/hyperlink" Target="https://datosmacro.expansion.com/ipc-paises/argentina?sector=Vivienda&amp;sc=IPC-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osmacro.expansion.com/ipc-paises/argentina?dr=2019-02" TargetMode="External"/><Relationship Id="rId34" Type="http://schemas.openxmlformats.org/officeDocument/2006/relationships/hyperlink" Target="https://datosmacro.expansion.com/ipc-paises/argentina?sector=Otros+bienes+y+servicios&amp;sc=IPC-O" TargetMode="External"/><Relationship Id="rId7" Type="http://schemas.openxmlformats.org/officeDocument/2006/relationships/hyperlink" Target="https://datosmacro.expansion.com/paises/argentina" TargetMode="External"/><Relationship Id="rId12" Type="http://schemas.openxmlformats.org/officeDocument/2006/relationships/hyperlink" Target="https://datosmacro.expansion.com/ipc-paises/argentina?sector=Vivienda&amp;sc=IPC-V" TargetMode="External"/><Relationship Id="rId17" Type="http://schemas.openxmlformats.org/officeDocument/2006/relationships/hyperlink" Target="https://datosmacro.expansion.com/ipc-paises/argentina?sector=Ocio+y+Cultura&amp;sc=IPC-OyC" TargetMode="External"/><Relationship Id="rId25" Type="http://schemas.openxmlformats.org/officeDocument/2006/relationships/hyperlink" Target="https://datosmacro.expansion.com/ipc-paises/argentina?sector=Vestido+y+calzado&amp;sc=IPC-VyC" TargetMode="External"/><Relationship Id="rId33" Type="http://schemas.openxmlformats.org/officeDocument/2006/relationships/hyperlink" Target="https://datosmacro.expansion.com/ipc-paises/argentina?sector=Hoteles%2C+caf%C3%A9s+y+restaurantes&amp;sc=IPC-Hy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tosmacro.expansion.com/ipc-paises/argentina?sector=Comunicaciones&amp;sc=IPC-C" TargetMode="External"/><Relationship Id="rId20" Type="http://schemas.openxmlformats.org/officeDocument/2006/relationships/hyperlink" Target="https://datosmacro.expansion.com/ipc-paises/argentina?sector=Otros+bienes+y+servicios&amp;sc=IPC-O" TargetMode="External"/><Relationship Id="rId29" Type="http://schemas.openxmlformats.org/officeDocument/2006/relationships/hyperlink" Target="https://datosmacro.expansion.com/ipc-paises/argentina?sector=Transporte&amp;sc=IPC-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osmacro.expansion.com/ipc-paises" TargetMode="External"/><Relationship Id="rId11" Type="http://schemas.openxmlformats.org/officeDocument/2006/relationships/hyperlink" Target="https://datosmacro.expansion.com/ipc-paises/argentina?sector=Vestido+y+calzado&amp;sc=IPC-VyC" TargetMode="External"/><Relationship Id="rId24" Type="http://schemas.openxmlformats.org/officeDocument/2006/relationships/hyperlink" Target="https://datosmacro.expansion.com/ipc-paises/argentina?sector=Bebidas+alcoh%C3%B3licas+y+tabaco&amp;sc=IPC-ByT" TargetMode="External"/><Relationship Id="rId32" Type="http://schemas.openxmlformats.org/officeDocument/2006/relationships/hyperlink" Target="https://datosmacro.expansion.com/ipc-paises/argentina?sector=Ense%C3%B1anza&amp;sc=IPC-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atosmacro.expansion.com/paises/argentina" TargetMode="External"/><Relationship Id="rId15" Type="http://schemas.openxmlformats.org/officeDocument/2006/relationships/hyperlink" Target="https://datosmacro.expansion.com/ipc-paises/argentina?sector=Transporte&amp;sc=IPC-T" TargetMode="External"/><Relationship Id="rId23" Type="http://schemas.openxmlformats.org/officeDocument/2006/relationships/hyperlink" Target="https://datosmacro.expansion.com/ipc-paises/argentina?sector=Alimentos+y+bebidas+no+alcoh%C3%B3licas&amp;sc=IPC-AyB" TargetMode="External"/><Relationship Id="rId28" Type="http://schemas.openxmlformats.org/officeDocument/2006/relationships/hyperlink" Target="https://datosmacro.expansion.com/ipc-paises/argentina?sector=Medicina&amp;sc=IPC-M" TargetMode="External"/><Relationship Id="rId36" Type="http://schemas.openxmlformats.org/officeDocument/2006/relationships/hyperlink" Target="https://datosmacro.expansion.com/ipc-paises/australia" TargetMode="External"/><Relationship Id="rId10" Type="http://schemas.openxmlformats.org/officeDocument/2006/relationships/hyperlink" Target="https://datosmacro.expansion.com/ipc-paises/argentina?sector=Bebidas+alcoh%C3%B3licas+y+tabaco&amp;sc=IPC-ByT" TargetMode="External"/><Relationship Id="rId19" Type="http://schemas.openxmlformats.org/officeDocument/2006/relationships/hyperlink" Target="https://datosmacro.expansion.com/ipc-paises/argentina?sector=Hoteles%2C+caf%C3%A9s+y+restaurantes&amp;sc=IPC-HyC" TargetMode="External"/><Relationship Id="rId31" Type="http://schemas.openxmlformats.org/officeDocument/2006/relationships/hyperlink" Target="https://datosmacro.expansion.com/ipc-paises/argentina?sector=Ocio+y+Cultura&amp;sc=IPC-Oy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osmacro.expansion.com/ipc-paises/argentina?sector=Alimentos+y+bebidas+no+alcoh%C3%B3licas&amp;sc=IPC-AyB" TargetMode="External"/><Relationship Id="rId14" Type="http://schemas.openxmlformats.org/officeDocument/2006/relationships/hyperlink" Target="https://datosmacro.expansion.com/ipc-paises/argentina?sector=Medicina&amp;sc=IPC-M" TargetMode="External"/><Relationship Id="rId22" Type="http://schemas.openxmlformats.org/officeDocument/2006/relationships/hyperlink" Target="https://datosmacro.expansion.com/ipc-paises/argentina?sector=IPC+General&amp;sc=IPC-IG" TargetMode="External"/><Relationship Id="rId27" Type="http://schemas.openxmlformats.org/officeDocument/2006/relationships/hyperlink" Target="https://datosmacro.expansion.com/ipc-paises/argentina?sector=Menaje&amp;sc=IPC-Mj" TargetMode="External"/><Relationship Id="rId30" Type="http://schemas.openxmlformats.org/officeDocument/2006/relationships/hyperlink" Target="https://datosmacro.expansion.com/ipc-paises/argentina?sector=Comunicaciones&amp;sc=IPC-C" TargetMode="External"/><Relationship Id="rId35" Type="http://schemas.openxmlformats.org/officeDocument/2006/relationships/hyperlink" Target="https://datosmacro.expansion.com/ipc-paises/ang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Brun, Angel Guillermo</dc:creator>
  <cp:keywords/>
  <dc:description/>
  <cp:lastModifiedBy>Prado Brun, Angel Guillermo</cp:lastModifiedBy>
  <cp:revision>2</cp:revision>
  <dcterms:created xsi:type="dcterms:W3CDTF">2019-04-30T17:12:00Z</dcterms:created>
  <dcterms:modified xsi:type="dcterms:W3CDTF">2019-04-30T17:12:00Z</dcterms:modified>
</cp:coreProperties>
</file>