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2E5597"/>
          <w:spacing w:val="20"/>
          <w:sz w:val="32"/>
          <w:szCs w:val="32"/>
        </w:rPr>
        <w:t xml:space="preserve">XENA</w:t>
      </w:r>
    </w:p>
    <w:p>
      <w:pPr>
        <w:spacing w:after="400" w:before="120"/>
        <w:jc w:val="center"/>
      </w:pPr>
      <w:r>
        <w:rPr>
          <w:rFonts w:ascii="Calibri" w:cs="Calibri" w:eastAsia="Calibri" w:hAnsi="Calibri"/>
          <w:i/>
          <w:iCs/>
          <w:color w:val="595959"/>
          <w:sz w:val="24"/>
          <w:szCs w:val="24"/>
        </w:rPr>
        <w:t xml:space="preserve">Liquidity as a Service</w:t>
      </w:r>
    </w:p>
    <w:p>
      <w:pPr>
        <w:spacing w:after="200" w:before="0"/>
        <w:jc w:val="center"/>
      </w:pPr>
      <w:r>
        <w:rPr>
          <w:rFonts w:ascii="Calibri" w:cs="Calibri" w:eastAsia="Calibri" w:hAnsi="Calibri"/>
          <w:b/>
          <w:bCs/>
          <w:sz w:val="40"/>
          <w:szCs w:val="40"/>
        </w:rPr>
        <w:t xml:space="preserve">Parquet Schema Evolution and</w:t>
      </w:r>
    </w:p>
    <w:p>
      <w:pPr>
        <w:spacing w:after="600" w:before="0"/>
        <w:jc w:val="center"/>
      </w:pPr>
      <w:r>
        <w:rPr>
          <w:rFonts w:ascii="Calibri" w:cs="Calibri" w:eastAsia="Calibri" w:hAnsi="Calibri"/>
          <w:b/>
          <w:bCs/>
          <w:sz w:val="40"/>
          <w:szCs w:val="40"/>
        </w:rPr>
        <w:t xml:space="preserve">Registry-Based Configuration</w:t>
      </w:r>
    </w:p>
    <w:p>
      <w:pPr>
        <w:spacing w:after="3200" w:before="0"/>
        <w:jc w:val="center"/>
      </w:pPr>
      <w:r>
        <w:rPr>
          <w:rFonts w:ascii="Calibri" w:cs="Calibri" w:eastAsia="Calibri" w:hAnsi="Calibri"/>
          <w:color w:val="2E5597"/>
          <w:sz w:val="26"/>
          <w:szCs w:val="26"/>
        </w:rPr>
        <w:t xml:space="preserve">Architecture Decision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Calibri" w:cs="Calibri" w:eastAsia="Calibri" w:hAnsi="Calibri"/>
                <w:b/>
                <w:bCs/>
                <w:sz w:val="20"/>
                <w:szCs w:val="20"/>
              </w:rPr>
              <w:t xml:space="preserve">Document 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Architecture Decision Document (ADD)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Calibri" w:cs="Calibri" w:eastAsia="Calibri" w:hAnsi="Calibri"/>
                <w:b/>
                <w:bCs/>
                <w:sz w:val="20"/>
                <w:szCs w:val="20"/>
              </w:rPr>
              <w:t xml:space="preserve">Project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XENA LaaS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Calibri" w:cs="Calibri" w:eastAsia="Calibri" w:hAnsi="Calibri"/>
                <w:b/>
                <w:bCs/>
                <w:sz w:val="20"/>
                <w:szCs w:val="20"/>
              </w:rPr>
              <w:t xml:space="preserve">Author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Senior Solutions Architecture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Proposed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Calibri" w:cs="Calibri" w:eastAsia="Calibri" w:hAnsi="Calibri"/>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Calibri" w:cs="Calibri" w:eastAsia="Calibri" w:hAnsi="Calibri"/>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23 July 2026</w:t>
            </w:r>
          </w:p>
        </w:tc>
      </w:tr>
    </w:tbl>
    <w:p>
      <w:r>
        <w:br w:type="page"/>
      </w:r>
    </w:p>
    <w:p>
      <w:pPr>
        <w:pStyle w:val="Heading1"/>
        <w:spacing w:after="160" w:before="36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Executive Summary</w:t>
      </w:r>
    </w:p>
    <w:p>
      <w:pPr>
        <w:spacing w:after="160" w:line="276"/>
        <w:jc w:val="both"/>
      </w:pPr>
      <w:r>
        <w:rPr>
          <w:rFonts w:ascii="Calibri" w:cs="Calibri" w:eastAsia="Calibri" w:hAnsi="Calibri"/>
          <w:b w:val="false"/>
          <w:bCs w:val="false"/>
          <w:i w:val="false"/>
          <w:iCs w:val="false"/>
          <w:sz w:val="22"/>
          <w:szCs w:val="22"/>
        </w:rPr>
        <w:t xml:space="preserve">This document proposes a configuration-driven approach for Parquet schema management in XENA, decoupling Data Provisioning schema evolution from XDE software releases.</w:t>
      </w:r>
    </w:p>
    <w:p>
      <w:pPr>
        <w:spacing w:after="160" w:line="276"/>
        <w:jc w:val="both"/>
      </w:pPr>
      <w:r>
        <w:rPr>
          <w:rFonts w:ascii="Calibri" w:cs="Calibri" w:eastAsia="Calibri" w:hAnsi="Calibri"/>
          <w:b w:val="false"/>
          <w:bCs w:val="false"/>
          <w:i w:val="false"/>
          <w:iCs w:val="false"/>
          <w:sz w:val="22"/>
          <w:szCs w:val="22"/>
        </w:rPr>
        <w:t xml:space="preserve">The solution introduces a Schema Registry stored in the existing XENA Configuration Bucket (xena-config-{env}), allowing new Parquet schemas to be introduced through configuration rather than through C++ code changes.</w:t>
      </w:r>
    </w:p>
    <w:p>
      <w:pPr>
        <w:spacing w:after="160" w:line="276"/>
        <w:jc w:val="both"/>
      </w:pPr>
      <w:r>
        <w:rPr>
          <w:rFonts w:ascii="Calibri" w:cs="Calibri" w:eastAsia="Calibri" w:hAnsi="Calibri"/>
          <w:b w:val="false"/>
          <w:bCs w:val="false"/>
          <w:i w:val="false"/>
          <w:iCs w:val="false"/>
          <w:sz w:val="22"/>
          <w:szCs w:val="22"/>
        </w:rPr>
        <w:t xml:space="preserve">The proposal preserves XDE as a generic processing engine while allowing the Data Provisioning team to evolve datasets independently, without requiring a GRID redeployment for every schema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4"/>
              <w:left w:val="single" w:color="2E5597" w:sz="24"/>
              <w:bottom w:val="single" w:color="2E5597" w:sz="4"/>
              <w:right w:val="single" w:color="2E5597" w:sz="4"/>
            </w:tcBorders>
            <w:shd w:fill="EAF1FB" w:color="auto" w:val="clear"/>
            <w:tcMar>
              <w:top w:type="dxa" w:w="140"/>
              <w:left w:type="dxa" w:w="220"/>
              <w:bottom w:type="dxa" w:w="140"/>
              <w:right w:type="dxa" w:w="220"/>
            </w:tcMar>
          </w:tcPr>
          <w:p>
            <w:pPr>
              <w:spacing w:after="40"/>
            </w:pPr>
            <w:r>
              <w:rPr>
                <w:rFonts w:ascii="Calibri" w:cs="Calibri" w:eastAsia="Calibri" w:hAnsi="Calibri"/>
                <w:b/>
                <w:bCs/>
                <w:color w:val="2E5597"/>
                <w:sz w:val="18"/>
                <w:szCs w:val="18"/>
              </w:rPr>
              <w:t xml:space="preserve">KEY OUTCOME</w:t>
            </w:r>
          </w:p>
          <w:p>
            <w:pPr>
              <w:spacing w:after="0" w:line="264"/>
            </w:pPr>
            <w:r>
              <w:rPr>
                <w:rFonts w:ascii="Calibri" w:cs="Calibri" w:eastAsia="Calibri" w:hAnsi="Calibri"/>
                <w:sz w:val="21"/>
                <w:szCs w:val="21"/>
              </w:rPr>
              <w:t xml:space="preserve">XDE becomes a configuration-driven Parquet processing engine rather than a code-driven one — schema ownership moves to Data Provisioning, while XDE retains ownership of reading, validation, and high-throughput processing.</w:t>
            </w:r>
          </w:p>
        </w:tc>
      </w:tr>
    </w:tbl>
    <w:p>
      <w:pPr>
        <w:pStyle w:val="Heading1"/>
        <w:spacing w:after="160" w:before="360"/>
      </w:pPr>
      <w:r>
        <w:rPr>
          <w:rFonts w:ascii="Calibri" w:cs="Calibri" w:eastAsia="Calibri" w:hAnsi="Calibri"/>
        </w:rPr>
        <w:t xml:space="preserve">2. Background</w:t>
      </w:r>
    </w:p>
    <w:p>
      <w:pPr>
        <w:spacing w:after="160" w:line="276"/>
        <w:jc w:val="both"/>
      </w:pPr>
      <w:r>
        <w:rPr>
          <w:rFonts w:ascii="Calibri" w:cs="Calibri" w:eastAsia="Calibri" w:hAnsi="Calibri"/>
          <w:b w:val="false"/>
          <w:bCs w:val="false"/>
          <w:i w:val="false"/>
          <w:iCs w:val="false"/>
          <w:sz w:val="22"/>
          <w:szCs w:val="22"/>
        </w:rPr>
        <w:t xml:space="preserve">Today, XDE discovers Parquet columns by scanning the schema and matching column names against a hardcoded list embedded in the C++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 xde/schema/fmtm_schema.h</w:t>
            </w:r>
          </w:p>
          <w:p>
            <w:pPr>
              <w:spacing w:after="0" w:line="240"/>
            </w:pPr>
            <w:r>
              <w:rPr>
                <w:rFonts w:ascii="Courier New" w:cs="Courier New" w:eastAsia="Courier New" w:hAnsi="Courier New"/>
                <w:color w:val="1A1A1A"/>
                <w:sz w:val="18"/>
                <w:szCs w:val="18"/>
              </w:rPr>
              <w:t xml:space="preserve">namespace xde::schema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Hardcoded business field names — requires a rebuild for any change</w:t>
            </w:r>
          </w:p>
          <w:p>
            <w:pPr>
              <w:spacing w:after="0" w:line="240"/>
            </w:pPr>
            <w:r>
              <w:rPr>
                <w:rFonts w:ascii="Courier New" w:cs="Courier New" w:eastAsia="Courier New" w:hAnsi="Courier New"/>
                <w:color w:val="1A1A1A"/>
                <w:sz w:val="18"/>
                <w:szCs w:val="18"/>
              </w:rPr>
              <w:t xml:space="preserve">    constexpr std::array&lt;std::string_view, 3&gt; kFmtmFieldNames{</w:t>
            </w:r>
          </w:p>
          <w:p>
            <w:pPr>
              <w:spacing w:after="0" w:line="240"/>
            </w:pPr>
            <w:r>
              <w:rPr>
                <w:rFonts w:ascii="Courier New" w:cs="Courier New" w:eastAsia="Courier New" w:hAnsi="Courier New"/>
                <w:color w:val="1A1A1A"/>
                <w:sz w:val="18"/>
                <w:szCs w:val="18"/>
              </w:rPr>
              <w:t xml:space="preserve">        "trade",</w:t>
            </w:r>
          </w:p>
          <w:p>
            <w:pPr>
              <w:spacing w:after="0" w:line="240"/>
            </w:pPr>
            <w:r>
              <w:rPr>
                <w:rFonts w:ascii="Courier New" w:cs="Courier New" w:eastAsia="Courier New" w:hAnsi="Courier New"/>
                <w:color w:val="1A1A1A"/>
                <w:sz w:val="18"/>
                <w:szCs w:val="18"/>
              </w:rPr>
              <w:t xml:space="preserve">        "collateralcontext",</w:t>
            </w:r>
          </w:p>
          <w:p>
            <w:pPr>
              <w:spacing w:after="0" w:line="240"/>
            </w:pPr>
            <w:r>
              <w:rPr>
                <w:rFonts w:ascii="Courier New" w:cs="Courier New" w:eastAsia="Courier New" w:hAnsi="Courier New"/>
                <w:color w:val="1A1A1A"/>
                <w:sz w:val="18"/>
                <w:szCs w:val="18"/>
              </w:rPr>
              <w:t xml:space="preserve">        "ccy"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namespace xde::schema</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Although the implementation reads the Parquet file's own embedded schema to locate columns, the set of expected business fields remains hardcoded inside XDE. Any change to that set requires touching and rebuilding the engine.</w:t>
      </w:r>
    </w:p>
    <w:p>
      <w:pPr>
        <w:pStyle w:val="Heading2"/>
        <w:spacing w:after="120" w:before="280"/>
      </w:pPr>
      <w:r>
        <w:rPr>
          <w:rFonts w:ascii="Calibri" w:cs="Calibri" w:eastAsia="Calibri" w:hAnsi="Calibri"/>
        </w:rPr>
        <w:t xml:space="preserve">2.1 Consequences of the Current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9"/>
                <w:szCs w:val="19"/>
              </w:rPr>
              <w:t xml:space="preserve">Data Provisioning changes schema</w:t>
            </w:r>
          </w:p>
          <w:p>
            <w:pPr>
              <w:spacing w:after="0" w:line="240"/>
            </w:pPr>
            <w:r>
              <w:rPr>
                <w:rFonts w:ascii="Courier New" w:cs="Courier New" w:eastAsia="Courier New" w:hAnsi="Courier New"/>
                <w:color w:val="1A1A1A"/>
                <w:sz w:val="19"/>
                <w:szCs w:val="19"/>
              </w:rPr>
              <w:t xml:space="preserve">            |</w:t>
            </w:r>
          </w:p>
          <w:p>
            <w:pPr>
              <w:spacing w:after="0" w:line="240"/>
            </w:pPr>
            <w:r>
              <w:rPr>
                <w:rFonts w:ascii="Courier New" w:cs="Courier New" w:eastAsia="Courier New" w:hAnsi="Courier New"/>
                <w:color w:val="1A1A1A"/>
                <w:sz w:val="19"/>
                <w:szCs w:val="19"/>
              </w:rPr>
              <w:t xml:space="preserve">            v</w:t>
            </w:r>
          </w:p>
          <w:p>
            <w:pPr>
              <w:spacing w:after="0" w:line="240"/>
            </w:pPr>
            <w:r>
              <w:rPr>
                <w:rFonts w:ascii="Courier New" w:cs="Courier New" w:eastAsia="Courier New" w:hAnsi="Courier New"/>
                <w:color w:val="1A1A1A"/>
                <w:sz w:val="19"/>
                <w:szCs w:val="19"/>
              </w:rPr>
              <w:t xml:space="preserve">     Modify C++ source code</w:t>
            </w:r>
          </w:p>
          <w:p>
            <w:pPr>
              <w:spacing w:after="0" w:line="240"/>
            </w:pPr>
            <w:r>
              <w:rPr>
                <w:rFonts w:ascii="Courier New" w:cs="Courier New" w:eastAsia="Courier New" w:hAnsi="Courier New"/>
                <w:color w:val="1A1A1A"/>
                <w:sz w:val="19"/>
                <w:szCs w:val="19"/>
              </w:rPr>
              <w:t xml:space="preserve">            |</w:t>
            </w:r>
          </w:p>
          <w:p>
            <w:pPr>
              <w:spacing w:after="0" w:line="240"/>
            </w:pPr>
            <w:r>
              <w:rPr>
                <w:rFonts w:ascii="Courier New" w:cs="Courier New" w:eastAsia="Courier New" w:hAnsi="Courier New"/>
                <w:color w:val="1A1A1A"/>
                <w:sz w:val="19"/>
                <w:szCs w:val="19"/>
              </w:rPr>
              <w:t xml:space="preserve">            v</w:t>
            </w:r>
          </w:p>
          <w:p>
            <w:pPr>
              <w:spacing w:after="0" w:line="240"/>
            </w:pPr>
            <w:r>
              <w:rPr>
                <w:rFonts w:ascii="Courier New" w:cs="Courier New" w:eastAsia="Courier New" w:hAnsi="Courier New"/>
                <w:color w:val="1A1A1A"/>
                <w:sz w:val="19"/>
                <w:szCs w:val="19"/>
              </w:rPr>
              <w:t xml:space="preserve">        Rebuild XDE</w:t>
            </w:r>
          </w:p>
          <w:p>
            <w:pPr>
              <w:spacing w:after="0" w:line="240"/>
            </w:pPr>
            <w:r>
              <w:rPr>
                <w:rFonts w:ascii="Courier New" w:cs="Courier New" w:eastAsia="Courier New" w:hAnsi="Courier New"/>
                <w:color w:val="1A1A1A"/>
                <w:sz w:val="19"/>
                <w:szCs w:val="19"/>
              </w:rPr>
              <w:t xml:space="preserve">            |</w:t>
            </w:r>
          </w:p>
          <w:p>
            <w:pPr>
              <w:spacing w:after="0" w:line="240"/>
            </w:pPr>
            <w:r>
              <w:rPr>
                <w:rFonts w:ascii="Courier New" w:cs="Courier New" w:eastAsia="Courier New" w:hAnsi="Courier New"/>
                <w:color w:val="1A1A1A"/>
                <w:sz w:val="19"/>
                <w:szCs w:val="19"/>
              </w:rPr>
              <w:t xml:space="preserve">            v</w:t>
            </w:r>
          </w:p>
          <w:p>
            <w:pPr>
              <w:spacing w:after="0" w:line="240"/>
            </w:pPr>
            <w:r>
              <w:rPr>
                <w:rFonts w:ascii="Courier New" w:cs="Courier New" w:eastAsia="Courier New" w:hAnsi="Courier New"/>
                <w:color w:val="1A1A1A"/>
                <w:sz w:val="19"/>
                <w:szCs w:val="19"/>
              </w:rPr>
              <w:t xml:space="preserve">       Redeploy GRID</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This creates an unnecessary dependency between three concerns that should be independent:</w:t>
      </w:r>
    </w:p>
    <w:p>
      <w:pPr>
        <w:pStyle w:val="ListParagraph"/>
        <w:numPr>
          <w:ilvl w:val="0"/>
          <w:numId w:val="2"/>
        </w:numPr>
        <w:spacing w:after="80"/>
      </w:pPr>
      <w:r>
        <w:rPr>
          <w:rFonts w:ascii="Calibri" w:cs="Calibri" w:eastAsia="Calibri" w:hAnsi="Calibri"/>
          <w:sz w:val="22"/>
          <w:szCs w:val="22"/>
        </w:rPr>
        <w:t xml:space="preserve">Data Provisioning — the team that owns and evolves business schemas</w:t>
      </w:r>
    </w:p>
    <w:p>
      <w:pPr>
        <w:pStyle w:val="ListParagraph"/>
        <w:numPr>
          <w:ilvl w:val="0"/>
          <w:numId w:val="2"/>
        </w:numPr>
        <w:spacing w:after="80"/>
      </w:pPr>
      <w:r>
        <w:rPr>
          <w:rFonts w:ascii="Calibri" w:cs="Calibri" w:eastAsia="Calibri" w:hAnsi="Calibri"/>
          <w:sz w:val="22"/>
          <w:szCs w:val="22"/>
        </w:rPr>
        <w:t xml:space="preserve">GRID / XDE development — the team that owns the processing engine</w:t>
      </w:r>
    </w:p>
    <w:p>
      <w:pPr>
        <w:pStyle w:val="ListParagraph"/>
        <w:numPr>
          <w:ilvl w:val="0"/>
          <w:numId w:val="2"/>
        </w:numPr>
        <w:spacing w:after="80"/>
      </w:pPr>
      <w:r>
        <w:rPr>
          <w:rFonts w:ascii="Calibri" w:cs="Calibri" w:eastAsia="Calibri" w:hAnsi="Calibri"/>
          <w:sz w:val="22"/>
          <w:szCs w:val="22"/>
        </w:rPr>
        <w:t xml:space="preserve">Deployment lifecycle — release cadence, regression testing, and rollout</w:t>
      </w:r>
    </w:p>
    <w:p>
      <w:pPr>
        <w:spacing w:after="80"/>
      </w:pPr>
    </w:p>
    <w:p>
      <w:pPr>
        <w:pStyle w:val="Heading1"/>
        <w:spacing w:after="160" w:before="360"/>
      </w:pPr>
      <w:r>
        <w:rPr>
          <w:rFonts w:ascii="Calibri" w:cs="Calibri" w:eastAsia="Calibri" w:hAnsi="Calibri"/>
        </w:rPr>
        <w:t xml:space="preserve">3. Problem Statement</w:t>
      </w:r>
    </w:p>
    <w:p>
      <w:pPr>
        <w:spacing w:after="160" w:line="276"/>
        <w:jc w:val="both"/>
      </w:pPr>
      <w:r>
        <w:rPr>
          <w:rFonts w:ascii="Calibri" w:cs="Calibri" w:eastAsia="Calibri" w:hAnsi="Calibri"/>
          <w:b w:val="false"/>
          <w:bCs w:val="false"/>
          <w:i w:val="false"/>
          <w:iCs w:val="false"/>
          <w:sz w:val="22"/>
          <w:szCs w:val="22"/>
        </w:rPr>
        <w:t xml:space="preserve">The current implementation tightly couples business schema definitions with the Parquet reader implementation. As new business fields are introduced, this coupling becomes a growing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tblHeader/>
        </w:trPr>
        <w:tc>
          <w:tcPr>
            <w:tcW w:type="dxa" w:w="316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Schema Stage</w:t>
            </w:r>
          </w:p>
        </w:tc>
        <w:tc>
          <w:tcPr>
            <w:tcW w:type="dxa" w:w="62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Required Columns</w:t>
            </w:r>
          </w:p>
        </w:tc>
      </w:tr>
      <w:tr>
        <w:tc>
          <w:tcPr>
            <w:tcW w:type="dxa" w:w="31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bCs/>
                <w:sz w:val="20"/>
                <w:szCs w:val="20"/>
              </w:rPr>
              <w:t xml:space="preserve">Current</w:t>
            </w:r>
          </w:p>
        </w:tc>
        <w:tc>
          <w:tcPr>
            <w:tcW w:type="dxa" w:w="6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trade, collateralcontext, ccy</w:t>
            </w:r>
          </w:p>
        </w:tc>
      </w:tr>
      <w:tr>
        <w:tc>
          <w:tcPr>
            <w:tcW w:type="dxa" w:w="31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bCs/>
                <w:sz w:val="20"/>
                <w:szCs w:val="20"/>
              </w:rPr>
              <w:t xml:space="preserve">Future (planned evolution)</w:t>
            </w:r>
          </w:p>
        </w:tc>
        <w:tc>
          <w:tcPr>
            <w:tcW w:type="dxa" w:w="62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trade, collateralcontext, ccy, valuationDate, portfolio, legalEntity</w:t>
            </w:r>
          </w:p>
        </w:tc>
      </w:tr>
    </w:tbl>
    <w:p>
      <w:pPr>
        <w:spacing w:after="160"/>
      </w:pPr>
    </w:p>
    <w:p>
      <w:pPr>
        <w:spacing w:after="160" w:line="276"/>
        <w:jc w:val="both"/>
      </w:pPr>
      <w:r>
        <w:rPr>
          <w:rFonts w:ascii="Calibri" w:cs="Calibri" w:eastAsia="Calibri" w:hAnsi="Calibri"/>
          <w:b w:val="false"/>
          <w:bCs w:val="false"/>
          <w:i w:val="false"/>
          <w:iCs w:val="false"/>
          <w:sz w:val="22"/>
          <w:szCs w:val="22"/>
        </w:rPr>
        <w:t xml:space="preserve">Every schema evolution under the current model requires all of the following:</w:t>
      </w:r>
    </w:p>
    <w:p>
      <w:pPr>
        <w:pStyle w:val="ListParagraph"/>
        <w:numPr>
          <w:ilvl w:val="0"/>
          <w:numId w:val="2"/>
        </w:numPr>
        <w:spacing w:after="80"/>
      </w:pPr>
      <w:r>
        <w:rPr>
          <w:rFonts w:ascii="Calibri" w:cs="Calibri" w:eastAsia="Calibri" w:hAnsi="Calibri"/>
          <w:sz w:val="22"/>
          <w:szCs w:val="22"/>
        </w:rPr>
        <w:t xml:space="preserve">Source code modification</w:t>
      </w:r>
    </w:p>
    <w:p>
      <w:pPr>
        <w:pStyle w:val="ListParagraph"/>
        <w:numPr>
          <w:ilvl w:val="0"/>
          <w:numId w:val="2"/>
        </w:numPr>
        <w:spacing w:after="80"/>
      </w:pPr>
      <w:r>
        <w:rPr>
          <w:rFonts w:ascii="Calibri" w:cs="Calibri" w:eastAsia="Calibri" w:hAnsi="Calibri"/>
          <w:sz w:val="22"/>
          <w:szCs w:val="22"/>
        </w:rPr>
        <w:t xml:space="preserve">Compilation</w:t>
      </w:r>
    </w:p>
    <w:p>
      <w:pPr>
        <w:pStyle w:val="ListParagraph"/>
        <w:numPr>
          <w:ilvl w:val="0"/>
          <w:numId w:val="2"/>
        </w:numPr>
        <w:spacing w:after="80"/>
      </w:pPr>
      <w:r>
        <w:rPr>
          <w:rFonts w:ascii="Calibri" w:cs="Calibri" w:eastAsia="Calibri" w:hAnsi="Calibri"/>
          <w:sz w:val="22"/>
          <w:szCs w:val="22"/>
        </w:rPr>
        <w:t xml:space="preserve">Deployment</w:t>
      </w:r>
    </w:p>
    <w:p>
      <w:pPr>
        <w:pStyle w:val="ListParagraph"/>
        <w:numPr>
          <w:ilvl w:val="0"/>
          <w:numId w:val="2"/>
        </w:numPr>
        <w:spacing w:after="80"/>
      </w:pPr>
      <w:r>
        <w:rPr>
          <w:rFonts w:ascii="Calibri" w:cs="Calibri" w:eastAsia="Calibri" w:hAnsi="Calibri"/>
          <w:sz w:val="22"/>
          <w:szCs w:val="22"/>
        </w:rPr>
        <w:t xml:space="preserve">Full regression testing</w:t>
      </w:r>
    </w:p>
    <w:p>
      <w:pPr>
        <w:spacing w:after="160" w:line="276"/>
        <w:jc w:val="both"/>
      </w:pPr>
      <w:r>
        <w:rPr>
          <w:rFonts w:ascii="Calibri" w:cs="Calibri" w:eastAsia="Calibri" w:hAnsi="Calibri"/>
          <w:b w:val="false"/>
          <w:bCs w:val="false"/>
          <w:i w:val="false"/>
          <w:iCs w:val="false"/>
          <w:sz w:val="22"/>
          <w:szCs w:val="22"/>
        </w:rPr>
        <w:t xml:space="preserve">Although the Parquet format natively supports schema evolution — new columns, optional fields, and multiple schema versions coexisting in the same dataset — the current XDE implementation does not take advantage of this capability.</w:t>
      </w:r>
    </w:p>
    <w:p>
      <w:pPr>
        <w:pStyle w:val="Heading1"/>
        <w:spacing w:after="160" w:before="360"/>
      </w:pPr>
      <w:r>
        <w:rPr>
          <w:rFonts w:ascii="Calibri" w:cs="Calibri" w:eastAsia="Calibri" w:hAnsi="Calibri"/>
        </w:rPr>
        <w:t xml:space="preserve">4. Architectural Goals</w:t>
      </w:r>
    </w:p>
    <w:p>
      <w:pPr>
        <w:spacing w:after="160" w:line="276"/>
        <w:jc w:val="both"/>
      </w:pPr>
      <w:r>
        <w:rPr>
          <w:rFonts w:ascii="Calibri" w:cs="Calibri" w:eastAsia="Calibri" w:hAnsi="Calibri"/>
          <w:b w:val="false"/>
          <w:bCs w:val="false"/>
          <w:i w:val="false"/>
          <w:iCs w:val="false"/>
          <w:sz w:val="22"/>
          <w:szCs w:val="22"/>
        </w:rPr>
        <w:t xml:space="preserve">The proposed solution must satisfy the following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866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Goal</w:t>
            </w:r>
          </w:p>
        </w:tc>
      </w:tr>
      <w:tr>
        <w:tc>
          <w:tcPr>
            <w:tcW w:type="dxa" w:w="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1</w:t>
            </w:r>
          </w:p>
        </w:tc>
        <w:tc>
          <w:tcPr>
            <w:tcW w:type="dxa" w:w="86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Decouple Data Provisioning schema evolution from XDE releases</w:t>
            </w:r>
          </w:p>
        </w:tc>
      </w:tr>
      <w:tr>
        <w:tc>
          <w:tcPr>
            <w:tcW w:type="dxa" w:w="7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2</w:t>
            </w:r>
          </w:p>
        </w:tc>
        <w:tc>
          <w:tcPr>
            <w:tcW w:type="dxa" w:w="86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Preserve XDE as a generic, business-agnostic Parquet processing engine</w:t>
            </w:r>
          </w:p>
        </w:tc>
      </w:tr>
      <w:tr>
        <w:tc>
          <w:tcPr>
            <w:tcW w:type="dxa" w:w="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3</w:t>
            </w:r>
          </w:p>
        </w:tc>
        <w:tc>
          <w:tcPr>
            <w:tcW w:type="dxa" w:w="86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Allow independent schema evolution per dataset</w:t>
            </w:r>
          </w:p>
        </w:tc>
      </w:tr>
      <w:tr>
        <w:tc>
          <w:tcPr>
            <w:tcW w:type="dxa" w:w="7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4</w:t>
            </w:r>
          </w:p>
        </w:tc>
        <w:tc>
          <w:tcPr>
            <w:tcW w:type="dxa" w:w="86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Support multiple schema versions simultaneously</w:t>
            </w:r>
          </w:p>
        </w:tc>
      </w:tr>
      <w:tr>
        <w:tc>
          <w:tcPr>
            <w:tcW w:type="dxa" w:w="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5</w:t>
            </w:r>
          </w:p>
        </w:tc>
        <w:tc>
          <w:tcPr>
            <w:tcW w:type="dxa" w:w="86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Preserve current high-throughput processing characteristics</w:t>
            </w:r>
          </w:p>
        </w:tc>
      </w:tr>
      <w:tr>
        <w:tc>
          <w:tcPr>
            <w:tcW w:type="dxa" w:w="7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6</w:t>
            </w:r>
          </w:p>
        </w:tc>
        <w:tc>
          <w:tcPr>
            <w:tcW w:type="dxa" w:w="86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Introduce zero impact on Row Group Distribution</w:t>
            </w:r>
          </w:p>
        </w:tc>
      </w:tr>
      <w:tr>
        <w:tc>
          <w:tcPr>
            <w:tcW w:type="dxa" w:w="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7</w:t>
            </w:r>
          </w:p>
        </w:tc>
        <w:tc>
          <w:tcPr>
            <w:tcW w:type="dxa" w:w="86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Reuse existing XENA LaaS configuration infrastructure</w:t>
            </w:r>
          </w:p>
        </w:tc>
      </w:tr>
    </w:tbl>
    <w:p>
      <w:pPr>
        <w:pStyle w:val="Heading1"/>
        <w:spacing w:after="160" w:before="360"/>
      </w:pPr>
      <w:r>
        <w:rPr>
          <w:rFonts w:ascii="Calibri" w:cs="Calibri" w:eastAsia="Calibri" w:hAnsi="Calibri"/>
        </w:rPr>
        <w:t xml:space="preserve">5. Existing XENA Configuration Bucket</w:t>
      </w:r>
    </w:p>
    <w:p>
      <w:pPr>
        <w:spacing w:after="160" w:line="276"/>
        <w:jc w:val="both"/>
      </w:pPr>
      <w:r>
        <w:rPr>
          <w:rFonts w:ascii="Calibri" w:cs="Calibri" w:eastAsia="Calibri" w:hAnsi="Calibri"/>
          <w:b w:val="false"/>
          <w:bCs w:val="false"/>
          <w:i w:val="false"/>
          <w:iCs w:val="false"/>
          <w:sz w:val="22"/>
          <w:szCs w:val="22"/>
        </w:rPr>
        <w:t xml:space="preserve">XENA LaaS already defines a per-environment configuration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xena-config-dev</w:t>
            </w:r>
          </w:p>
          <w:p>
            <w:pPr>
              <w:spacing w:after="0" w:line="240"/>
            </w:pPr>
            <w:r>
              <w:rPr>
                <w:rFonts w:ascii="Courier New" w:cs="Courier New" w:eastAsia="Courier New" w:hAnsi="Courier New"/>
                <w:color w:val="1A1A1A"/>
                <w:sz w:val="18"/>
                <w:szCs w:val="18"/>
              </w:rPr>
              <w:t xml:space="preserve">xena-config-pre</w:t>
            </w:r>
          </w:p>
          <w:p>
            <w:pPr>
              <w:spacing w:after="0" w:line="240"/>
            </w:pPr>
            <w:r>
              <w:rPr>
                <w:rFonts w:ascii="Courier New" w:cs="Courier New" w:eastAsia="Courier New" w:hAnsi="Courier New"/>
                <w:color w:val="1A1A1A"/>
                <w:sz w:val="18"/>
                <w:szCs w:val="18"/>
              </w:rPr>
              <w:t xml:space="preserve">xena-config-pro</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The current usage of this bucket is limited to a library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registry/</w:t>
            </w:r>
          </w:p>
          <w:p>
            <w:pPr>
              <w:spacing w:after="0" w:line="240"/>
            </w:pPr>
            <w:r>
              <w:rPr>
                <w:rFonts w:ascii="Courier New" w:cs="Courier New" w:eastAsia="Courier New" w:hAnsi="Courier New"/>
                <w:color w:val="1A1A1A"/>
                <w:sz w:val="18"/>
                <w:szCs w:val="18"/>
              </w:rPr>
              <w:t xml:space="preserve">    libraries/</w:t>
            </w:r>
          </w:p>
          <w:p>
            <w:pPr>
              <w:spacing w:after="0" w:line="240"/>
            </w:pPr>
            <w:r>
              <w:rPr>
                <w:rFonts w:ascii="Courier New" w:cs="Courier New" w:eastAsia="Courier New" w:hAnsi="Courier New"/>
                <w:color w:val="1A1A1A"/>
                <w:sz w:val="18"/>
                <w:szCs w:val="18"/>
              </w:rPr>
              <w:t xml:space="preserve">        libraries.json</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The libraries.json file contains:</w:t>
      </w:r>
    </w:p>
    <w:p>
      <w:pPr>
        <w:pStyle w:val="ListParagraph"/>
        <w:numPr>
          <w:ilvl w:val="0"/>
          <w:numId w:val="2"/>
        </w:numPr>
        <w:spacing w:after="80"/>
      </w:pPr>
      <w:r>
        <w:rPr>
          <w:rFonts w:ascii="Calibri" w:cs="Calibri" w:eastAsia="Calibri" w:hAnsi="Calibri"/>
          <w:sz w:val="22"/>
          <w:szCs w:val="22"/>
        </w:rPr>
        <w:t xml:space="preserve">Target libraries</w:t>
      </w:r>
    </w:p>
    <w:p>
      <w:pPr>
        <w:pStyle w:val="ListParagraph"/>
        <w:numPr>
          <w:ilvl w:val="0"/>
          <w:numId w:val="2"/>
        </w:numPr>
        <w:spacing w:after="80"/>
      </w:pPr>
      <w:r>
        <w:rPr>
          <w:rFonts w:ascii="Calibri" w:cs="Calibri" w:eastAsia="Calibri" w:hAnsi="Calibri"/>
          <w:sz w:val="22"/>
          <w:szCs w:val="22"/>
        </w:rPr>
        <w:t xml:space="preserve">Versions</w:t>
      </w:r>
    </w:p>
    <w:p>
      <w:pPr>
        <w:pStyle w:val="ListParagraph"/>
        <w:numPr>
          <w:ilvl w:val="0"/>
          <w:numId w:val="2"/>
        </w:numPr>
        <w:spacing w:after="80"/>
      </w:pPr>
      <w:r>
        <w:rPr>
          <w:rFonts w:ascii="Calibri" w:cs="Calibri" w:eastAsia="Calibri" w:hAnsi="Calibri"/>
          <w:sz w:val="22"/>
          <w:szCs w:val="22"/>
        </w:rPr>
        <w:t xml:space="preserve">Deprecation status</w:t>
      </w:r>
    </w:p>
    <w:p>
      <w:pPr>
        <w:pStyle w:val="ListParagraph"/>
        <w:numPr>
          <w:ilvl w:val="0"/>
          <w:numId w:val="2"/>
        </w:numPr>
        <w:spacing w:after="80"/>
      </w:pPr>
      <w:r>
        <w:rPr>
          <w:rFonts w:ascii="Calibri" w:cs="Calibri" w:eastAsia="Calibri" w:hAnsi="Calibri"/>
          <w:sz w:val="22"/>
          <w:szCs w:val="22"/>
        </w:rPr>
        <w:t xml:space="preserve">Compatibility metadata</w:t>
      </w:r>
    </w:p>
    <w:p>
      <w:pPr>
        <w:spacing w:after="160" w:line="276"/>
        <w:jc w:val="both"/>
      </w:pPr>
      <w:r>
        <w:rPr>
          <w:rFonts w:ascii="Calibri" w:cs="Calibri" w:eastAsia="Calibri" w:hAnsi="Calibri"/>
          <w:b w:val="false"/>
          <w:bCs w:val="false"/>
          <w:i w:val="false"/>
          <w:iCs w:val="false"/>
          <w:sz w:val="22"/>
          <w:szCs w:val="22"/>
        </w:rPr>
        <w:t xml:space="preserve">This proposal extends the same Registry concept to cover Parquet schema definitions, rather than introducing new infrastructure.</w:t>
      </w:r>
    </w:p>
    <w:p>
      <w:pPr>
        <w:pStyle w:val="Heading1"/>
        <w:spacing w:after="160" w:before="360"/>
      </w:pPr>
      <w:r>
        <w:rPr>
          <w:rFonts w:ascii="Calibri" w:cs="Calibri" w:eastAsia="Calibri" w:hAnsi="Calibri"/>
        </w:rPr>
        <w:t xml:space="preserve">6. Proposed Solution</w:t>
      </w:r>
    </w:p>
    <w:p>
      <w:pPr>
        <w:spacing w:after="160" w:line="276"/>
        <w:jc w:val="both"/>
      </w:pPr>
      <w:r>
        <w:rPr>
          <w:rFonts w:ascii="Calibri" w:cs="Calibri" w:eastAsia="Calibri" w:hAnsi="Calibri"/>
          <w:b w:val="false"/>
          <w:bCs w:val="false"/>
          <w:i w:val="false"/>
          <w:iCs w:val="false"/>
          <w:sz w:val="22"/>
          <w:szCs w:val="22"/>
        </w:rPr>
        <w:t xml:space="preserve">Extend the existing Registry with a dedicated Schema Definitions namespace, organized by dataset and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xena-config-dev/</w:t>
            </w:r>
          </w:p>
          <w:p>
            <w:pPr>
              <w:spacing w:after="0" w:line="240"/>
            </w:pPr>
            <w:r>
              <w:rPr>
                <w:rFonts w:ascii="Courier New" w:cs="Courier New" w:eastAsia="Courier New" w:hAnsi="Courier New"/>
                <w:color w:val="1A1A1A"/>
                <w:sz w:val="18"/>
                <w:szCs w:val="18"/>
              </w:rPr>
              <w:t xml:space="preserve">└── registry/</w:t>
            </w:r>
          </w:p>
          <w:p>
            <w:pPr>
              <w:spacing w:after="0" w:line="240"/>
            </w:pPr>
            <w:r>
              <w:rPr>
                <w:rFonts w:ascii="Courier New" w:cs="Courier New" w:eastAsia="Courier New" w:hAnsi="Courier New"/>
                <w:color w:val="1A1A1A"/>
                <w:sz w:val="18"/>
                <w:szCs w:val="18"/>
              </w:rPr>
              <w:t xml:space="preserve">    ├── libraries/</w:t>
            </w:r>
          </w:p>
          <w:p>
            <w:pPr>
              <w:spacing w:after="0" w:line="240"/>
            </w:pPr>
            <w:r>
              <w:rPr>
                <w:rFonts w:ascii="Courier New" w:cs="Courier New" w:eastAsia="Courier New" w:hAnsi="Courier New"/>
                <w:color w:val="1A1A1A"/>
                <w:sz w:val="18"/>
                <w:szCs w:val="18"/>
              </w:rPr>
              <w:t xml:space="preserve">    │   └── libraries.json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fmtm/</w:t>
            </w:r>
          </w:p>
          <w:p>
            <w:pPr>
              <w:spacing w:after="0" w:line="240"/>
            </w:pPr>
            <w:r>
              <w:rPr>
                <w:rFonts w:ascii="Courier New" w:cs="Courier New" w:eastAsia="Courier New" w:hAnsi="Courier New"/>
                <w:color w:val="1A1A1A"/>
                <w:sz w:val="18"/>
                <w:szCs w:val="18"/>
              </w:rPr>
              <w:t xml:space="preserve">    │   ├── latest.json   -&gt; points to v2</w:t>
            </w:r>
          </w:p>
          <w:p>
            <w:pPr>
              <w:spacing w:after="0" w:line="240"/>
            </w:pPr>
            <w:r>
              <w:rPr>
                <w:rFonts w:ascii="Courier New" w:cs="Courier New" w:eastAsia="Courier New" w:hAnsi="Courier New"/>
                <w:color w:val="1A1A1A"/>
                <w:sz w:val="18"/>
                <w:szCs w:val="18"/>
              </w:rPr>
              <w:t xml:space="preserve">    │   ├── v1.json</w:t>
            </w:r>
          </w:p>
          <w:p>
            <w:pPr>
              <w:spacing w:after="0" w:line="240"/>
            </w:pPr>
            <w:r>
              <w:rPr>
                <w:rFonts w:ascii="Courier New" w:cs="Courier New" w:eastAsia="Courier New" w:hAnsi="Courier New"/>
                <w:color w:val="1A1A1A"/>
                <w:sz w:val="18"/>
                <w:szCs w:val="18"/>
              </w:rPr>
              <w:t xml:space="preserve">    │   └── v2.json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calibration/</w:t>
            </w:r>
          </w:p>
          <w:p>
            <w:pPr>
              <w:spacing w:after="0" w:line="240"/>
            </w:pPr>
            <w:r>
              <w:rPr>
                <w:rFonts w:ascii="Courier New" w:cs="Courier New" w:eastAsia="Courier New" w:hAnsi="Courier New"/>
                <w:color w:val="1A1A1A"/>
                <w:sz w:val="18"/>
                <w:szCs w:val="18"/>
              </w:rPr>
              <w:t xml:space="preserve">    │   ├── latest.json   -&gt; points to v1</w:t>
            </w:r>
          </w:p>
          <w:p>
            <w:pPr>
              <w:spacing w:after="0" w:line="240"/>
            </w:pPr>
            <w:r>
              <w:rPr>
                <w:rFonts w:ascii="Courier New" w:cs="Courier New" w:eastAsia="Courier New" w:hAnsi="Courier New"/>
                <w:color w:val="1A1A1A"/>
                <w:sz w:val="18"/>
                <w:szCs w:val="18"/>
              </w:rPr>
              <w:t xml:space="preserve">    │   └── v1.json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emir/</w:t>
            </w:r>
          </w:p>
          <w:p>
            <w:pPr>
              <w:spacing w:after="0" w:line="240"/>
            </w:pPr>
            <w:r>
              <w:rPr>
                <w:rFonts w:ascii="Courier New" w:cs="Courier New" w:eastAsia="Courier New" w:hAnsi="Courier New"/>
                <w:color w:val="1A1A1A"/>
                <w:sz w:val="18"/>
                <w:szCs w:val="18"/>
              </w:rPr>
              <w:t xml:space="preserve">        ├── latest.json   -&gt; points to v3</w:t>
            </w:r>
          </w:p>
          <w:p>
            <w:pPr>
              <w:spacing w:after="0" w:line="240"/>
            </w:pPr>
            <w:r>
              <w:rPr>
                <w:rFonts w:ascii="Courier New" w:cs="Courier New" w:eastAsia="Courier New" w:hAnsi="Courier New"/>
                <w:color w:val="1A1A1A"/>
                <w:sz w:val="18"/>
                <w:szCs w:val="18"/>
              </w:rPr>
              <w:t xml:space="preserve">        └── v3.json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4"/>
              <w:left w:val="single" w:color="2E5597" w:sz="24"/>
              <w:bottom w:val="single" w:color="2E5597" w:sz="4"/>
              <w:right w:val="single" w:color="2E5597" w:sz="4"/>
            </w:tcBorders>
            <w:shd w:fill="EAF1FB" w:color="auto" w:val="clear"/>
            <w:tcMar>
              <w:top w:type="dxa" w:w="140"/>
              <w:left w:type="dxa" w:w="220"/>
              <w:bottom w:type="dxa" w:w="140"/>
              <w:right w:type="dxa" w:w="220"/>
            </w:tcMar>
          </w:tcPr>
          <w:p>
            <w:pPr>
              <w:spacing w:after="40"/>
            </w:pPr>
            <w:r>
              <w:rPr>
                <w:rFonts w:ascii="Calibri" w:cs="Calibri" w:eastAsia="Calibri" w:hAnsi="Calibri"/>
                <w:b/>
                <w:bCs/>
                <w:color w:val="2E5597"/>
                <w:sz w:val="18"/>
                <w:szCs w:val="18"/>
              </w:rPr>
              <w:t xml:space="preserve">IMPACT</w:t>
            </w:r>
          </w:p>
          <w:p>
            <w:pPr>
              <w:spacing w:after="0" w:line="264"/>
            </w:pPr>
            <w:r>
              <w:rPr>
                <w:rFonts w:ascii="Calibri" w:cs="Calibri" w:eastAsia="Calibri" w:hAnsi="Calibri"/>
                <w:sz w:val="21"/>
                <w:szCs w:val="21"/>
              </w:rPr>
              <w:t xml:space="preserve">No XDE deployment is required when adding a new schema version — publishing a new JSON file to the Registry is sufficient.</w:t>
            </w:r>
          </w:p>
        </w:tc>
      </w:tr>
    </w:tbl>
    <w:p>
      <w:pPr>
        <w:pStyle w:val="Heading1"/>
        <w:spacing w:after="160" w:before="360"/>
      </w:pPr>
      <w:r>
        <w:rPr>
          <w:rFonts w:ascii="Calibri" w:cs="Calibri" w:eastAsia="Calibri" w:hAnsi="Calibri"/>
        </w:rPr>
        <w:t xml:space="preserve">7. Schema Definition</w:t>
      </w:r>
    </w:p>
    <w:p>
      <w:pPr>
        <w:spacing w:after="160" w:line="276"/>
        <w:jc w:val="both"/>
      </w:pPr>
      <w:r>
        <w:rPr>
          <w:rFonts w:ascii="Calibri" w:cs="Calibri" w:eastAsia="Calibri" w:hAnsi="Calibri"/>
          <w:b w:val="false"/>
          <w:bCs w:val="false"/>
          <w:i w:val="false"/>
          <w:iCs w:val="false"/>
          <w:sz w:val="22"/>
          <w:szCs w:val="22"/>
        </w:rPr>
        <w:t xml:space="preserve">Each schema version is described by a self-contained JSON document. The improved schema definition below adds explicit typing, a description, and a schema identifier so that consumers can validate compatibility programmatically:</w:t>
      </w:r>
    </w:p>
    <w:p>
      <w:pPr>
        <w:pStyle w:val="Heading3"/>
        <w:spacing w:after="100" w:before="200"/>
      </w:pPr>
      <w:r>
        <w:rPr>
          <w:rFonts w:ascii="Calibri" w:cs="Calibri" w:eastAsia="Calibri" w:hAnsi="Calibri"/>
        </w:rPr>
        <w:t xml:space="preserve">Example — registry/fmtm/v2.json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7"/>
                <w:szCs w:val="17"/>
              </w:rPr>
              <w:t xml:space="preserve">{</w:t>
            </w:r>
          </w:p>
          <w:p>
            <w:pPr>
              <w:spacing w:after="0" w:line="240"/>
            </w:pPr>
            <w:r>
              <w:rPr>
                <w:rFonts w:ascii="Courier New" w:cs="Courier New" w:eastAsia="Courier New" w:hAnsi="Courier New"/>
                <w:color w:val="1A1A1A"/>
                <w:sz w:val="17"/>
                <w:szCs w:val="17"/>
              </w:rPr>
              <w:t xml:space="preserve">  "$schemaId": "fmtm",</w:t>
            </w:r>
          </w:p>
          <w:p>
            <w:pPr>
              <w:spacing w:after="0" w:line="240"/>
            </w:pPr>
            <w:r>
              <w:rPr>
                <w:rFonts w:ascii="Courier New" w:cs="Courier New" w:eastAsia="Courier New" w:hAnsi="Courier New"/>
                <w:color w:val="1A1A1A"/>
                <w:sz w:val="17"/>
                <w:szCs w:val="17"/>
              </w:rPr>
              <w:t xml:space="preserve">  "schemaVersion": "2.0",</w:t>
            </w:r>
          </w:p>
          <w:p>
            <w:pPr>
              <w:spacing w:after="0" w:line="240"/>
            </w:pPr>
            <w:r>
              <w:rPr>
                <w:rFonts w:ascii="Courier New" w:cs="Courier New" w:eastAsia="Courier New" w:hAnsi="Courier New"/>
                <w:color w:val="1A1A1A"/>
                <w:sz w:val="17"/>
                <w:szCs w:val="17"/>
              </w:rPr>
              <w:t xml:space="preserve">  "description": "FMTM book schema — adds valuation date and portfolio context",</w:t>
            </w:r>
          </w:p>
          <w:p>
            <w:pPr>
              <w:spacing w:after="0" w:line="240"/>
            </w:pPr>
            <w:r>
              <w:rPr>
                <w:rFonts w:ascii="Courier New" w:cs="Courier New" w:eastAsia="Courier New" w:hAnsi="Courier New"/>
                <w:color w:val="1A1A1A"/>
                <w:sz w:val="17"/>
                <w:szCs w:val="17"/>
              </w:rPr>
              <w:t xml:space="preserve">  "requiredColumns": [</w:t>
            </w:r>
          </w:p>
          <w:p>
            <w:pPr>
              <w:spacing w:after="0" w:line="240"/>
            </w:pPr>
            <w:r>
              <w:rPr>
                <w:rFonts w:ascii="Courier New" w:cs="Courier New" w:eastAsia="Courier New" w:hAnsi="Courier New"/>
                <w:color w:val="1A1A1A"/>
                <w:sz w:val="17"/>
                <w:szCs w:val="17"/>
              </w:rPr>
              <w:t xml:space="preserve">    { "name": "trade",             "type": "string" },</w:t>
            </w:r>
          </w:p>
          <w:p>
            <w:pPr>
              <w:spacing w:after="0" w:line="240"/>
            </w:pPr>
            <w:r>
              <w:rPr>
                <w:rFonts w:ascii="Courier New" w:cs="Courier New" w:eastAsia="Courier New" w:hAnsi="Courier New"/>
                <w:color w:val="1A1A1A"/>
                <w:sz w:val="17"/>
                <w:szCs w:val="17"/>
              </w:rPr>
              <w:t xml:space="preserve">    { "name": "collateralcontext", "type": "string" },</w:t>
            </w:r>
          </w:p>
          <w:p>
            <w:pPr>
              <w:spacing w:after="0" w:line="240"/>
            </w:pPr>
            <w:r>
              <w:rPr>
                <w:rFonts w:ascii="Courier New" w:cs="Courier New" w:eastAsia="Courier New" w:hAnsi="Courier New"/>
                <w:color w:val="1A1A1A"/>
                <w:sz w:val="17"/>
                <w:szCs w:val="17"/>
              </w:rPr>
              <w:t xml:space="preserve">    { "name": "ccy",               "type": "string" },</w:t>
            </w:r>
          </w:p>
          <w:p>
            <w:pPr>
              <w:spacing w:after="0" w:line="240"/>
            </w:pPr>
            <w:r>
              <w:rPr>
                <w:rFonts w:ascii="Courier New" w:cs="Courier New" w:eastAsia="Courier New" w:hAnsi="Courier New"/>
                <w:color w:val="1A1A1A"/>
                <w:sz w:val="17"/>
                <w:szCs w:val="17"/>
              </w:rPr>
              <w:t xml:space="preserve">    { "name": "valuationDate",     "type": "date"   }</w:t>
            </w:r>
          </w:p>
          <w:p>
            <w:pPr>
              <w:spacing w:after="0" w:line="240"/>
            </w:pPr>
            <w:r>
              <w:rPr>
                <w:rFonts w:ascii="Courier New" w:cs="Courier New" w:eastAsia="Courier New" w:hAnsi="Courier New"/>
                <w:color w:val="1A1A1A"/>
                <w:sz w:val="17"/>
                <w:szCs w:val="17"/>
              </w:rPr>
              <w:t xml:space="preserve">  ],</w:t>
            </w:r>
          </w:p>
          <w:p>
            <w:pPr>
              <w:spacing w:after="0" w:line="240"/>
            </w:pPr>
            <w:r>
              <w:rPr>
                <w:rFonts w:ascii="Courier New" w:cs="Courier New" w:eastAsia="Courier New" w:hAnsi="Courier New"/>
                <w:color w:val="1A1A1A"/>
                <w:sz w:val="17"/>
                <w:szCs w:val="17"/>
              </w:rPr>
              <w:t xml:space="preserve">  "optionalColumns": [</w:t>
            </w:r>
          </w:p>
          <w:p>
            <w:pPr>
              <w:spacing w:after="0" w:line="240"/>
            </w:pPr>
            <w:r>
              <w:rPr>
                <w:rFonts w:ascii="Courier New" w:cs="Courier New" w:eastAsia="Courier New" w:hAnsi="Courier New"/>
                <w:color w:val="1A1A1A"/>
                <w:sz w:val="17"/>
                <w:szCs w:val="17"/>
              </w:rPr>
              <w:t xml:space="preserve">    { "name": "portfolio",    "type": "string" },</w:t>
            </w:r>
          </w:p>
          <w:p>
            <w:pPr>
              <w:spacing w:after="0" w:line="240"/>
            </w:pPr>
            <w:r>
              <w:rPr>
                <w:rFonts w:ascii="Courier New" w:cs="Courier New" w:eastAsia="Courier New" w:hAnsi="Courier New"/>
                <w:color w:val="1A1A1A"/>
                <w:sz w:val="17"/>
                <w:szCs w:val="17"/>
              </w:rPr>
              <w:t xml:space="preserve">    { "name": "legalEntity",  "type": "string" }</w:t>
            </w:r>
          </w:p>
          <w:p>
            <w:pPr>
              <w:spacing w:after="0" w:line="240"/>
            </w:pPr>
            <w:r>
              <w:rPr>
                <w:rFonts w:ascii="Courier New" w:cs="Courier New" w:eastAsia="Courier New" w:hAnsi="Courier New"/>
                <w:color w:val="1A1A1A"/>
                <w:sz w:val="17"/>
                <w:szCs w:val="17"/>
              </w:rPr>
              <w:t xml:space="preserve">  ],</w:t>
            </w:r>
          </w:p>
          <w:p>
            <w:pPr>
              <w:spacing w:after="0" w:line="240"/>
            </w:pPr>
            <w:r>
              <w:rPr>
                <w:rFonts w:ascii="Courier New" w:cs="Courier New" w:eastAsia="Courier New" w:hAnsi="Courier New"/>
                <w:color w:val="1A1A1A"/>
                <w:sz w:val="17"/>
                <w:szCs w:val="17"/>
              </w:rPr>
              <w:t xml:space="preserve">  "supersedes": "1.0"</w:t>
            </w:r>
          </w:p>
          <w:p>
            <w:pPr>
              <w:spacing w:after="0" w:line="240"/>
            </w:pPr>
            <w:r>
              <w:rPr>
                <w:rFonts w:ascii="Courier New" w:cs="Courier New" w:eastAsia="Courier New" w:hAnsi="Courier New"/>
                <w:color w:val="1A1A1A"/>
                <w:sz w:val="17"/>
                <w:szCs w:val="17"/>
              </w:rPr>
              <w:t xml:space="preserve">}</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Adding an explicit type per column allows XDE to perform lightweight validation during column-map construction, catching malformed Parquet files early rather than surfacing a downstream cast failure.</w:t>
      </w:r>
    </w:p>
    <w:p>
      <w:pPr>
        <w:pStyle w:val="Heading1"/>
        <w:spacing w:after="160" w:before="360"/>
      </w:pPr>
      <w:r>
        <w:rPr>
          <w:rFonts w:ascii="Calibri" w:cs="Calibri" w:eastAsia="Calibri" w:hAnsi="Calibri"/>
        </w:rPr>
        <w:t xml:space="preserve">8. XDE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Current Flow</w:t>
            </w:r>
          </w:p>
        </w:tc>
        <w:tc>
          <w:tcPr>
            <w:tcW w:type="dxa" w:w="468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Proposed Flow</w:t>
            </w:r>
          </w:p>
        </w:tc>
      </w:tr>
      <w:tr>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Read Schema</w:t>
            </w:r>
          </w:p>
        </w:tc>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Read Parquet Schema</w:t>
            </w:r>
          </w:p>
        </w:tc>
      </w:tr>
      <w:tr>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Hardcoded Columns</w:t>
            </w:r>
          </w:p>
        </w:tc>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Load Schema Registry</w:t>
            </w:r>
          </w:p>
        </w:tc>
      </w:tr>
      <w:tr>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Find Columns</w:t>
            </w:r>
          </w:p>
        </w:tc>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Validate Required Columns</w:t>
            </w:r>
          </w:p>
        </w:tc>
      </w:tr>
      <w:tr>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Read Deals</w:t>
            </w:r>
          </w:p>
        </w:tc>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Build Column Lookup Map</w:t>
            </w:r>
          </w:p>
        </w:tc>
      </w:tr>
      <w:tr>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w:t>
            </w:r>
          </w:p>
        </w:tc>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Read Row Groups</w:t>
            </w:r>
          </w:p>
        </w:tc>
      </w:tr>
      <w:tr>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w:t>
            </w:r>
          </w:p>
        </w:tc>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Process Deals</w:t>
            </w:r>
          </w:p>
        </w:tc>
      </w:tr>
    </w:tbl>
    <w:p>
      <w:pPr>
        <w:spacing w:after="160"/>
      </w:pPr>
    </w:p>
    <w:p>
      <w:pPr>
        <w:spacing w:after="160" w:line="276"/>
        <w:jc w:val="both"/>
      </w:pPr>
      <w:r>
        <w:rPr>
          <w:rFonts w:ascii="Calibri" w:cs="Calibri" w:eastAsia="Calibri" w:hAnsi="Calibri"/>
          <w:b w:val="false"/>
          <w:bCs w:val="false"/>
          <w:i w:val="false"/>
          <w:iCs w:val="false"/>
          <w:sz w:val="22"/>
          <w:szCs w:val="22"/>
        </w:rPr>
        <w:t xml:space="preserve">The proposed flow inserts two additional steps ahead of column resolution — loading the Registry and validating required columns — while leaving Row Group streaming and deal processing untouched. This is the mechanism by which the solution introduces zero impact on Row Group Distribution.</w:t>
      </w:r>
    </w:p>
    <w:p>
      <w:pPr>
        <w:pStyle w:val="Heading1"/>
        <w:spacing w:after="160" w:before="360"/>
      </w:pPr>
      <w:r>
        <w:rPr>
          <w:rFonts w:ascii="Calibri" w:cs="Calibri" w:eastAsia="Calibri" w:hAnsi="Calibri"/>
        </w:rPr>
        <w:t xml:space="preserve">9. Schema Lookup</w:t>
      </w:r>
    </w:p>
    <w:p>
      <w:pPr>
        <w:spacing w:after="160" w:line="276"/>
        <w:jc w:val="both"/>
      </w:pPr>
      <w:r>
        <w:rPr>
          <w:rFonts w:ascii="Calibri" w:cs="Calibri" w:eastAsia="Calibri" w:hAnsi="Calibri"/>
          <w:b w:val="false"/>
          <w:bCs w:val="false"/>
          <w:i w:val="false"/>
          <w:iCs w:val="false"/>
          <w:sz w:val="22"/>
          <w:szCs w:val="22"/>
        </w:rPr>
        <w:t xml:space="preserve">During initialization, XDE builds a single lookup structure mapping each Parquet column name to its physical column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 Name</w:t>
            </w:r>
          </w:p>
        </w:tc>
        <w:tc>
          <w:tcPr>
            <w:tcW w:type="dxa" w:w="436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Parquet Index</w:t>
            </w:r>
          </w:p>
        </w:tc>
      </w:tr>
      <w:tr>
        <w:tc>
          <w:tcPr>
            <w:tcW w:type="dxa" w:w="5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trade</w:t>
            </w:r>
          </w:p>
        </w:tc>
        <w:tc>
          <w:tcPr>
            <w:tcW w:type="dxa" w:w="4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0</w:t>
            </w:r>
          </w:p>
        </w:tc>
      </w:tr>
      <w:tr>
        <w:tc>
          <w:tcPr>
            <w:tcW w:type="dxa" w:w="50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collateralcontext</w:t>
            </w:r>
          </w:p>
        </w:tc>
        <w:tc>
          <w:tcPr>
            <w:tcW w:type="dxa" w:w="43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1</w:t>
            </w:r>
          </w:p>
        </w:tc>
      </w:tr>
      <w:tr>
        <w:tc>
          <w:tcPr>
            <w:tcW w:type="dxa" w:w="5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ccy</w:t>
            </w:r>
          </w:p>
        </w:tc>
        <w:tc>
          <w:tcPr>
            <w:tcW w:type="dxa" w:w="4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2</w:t>
            </w:r>
          </w:p>
        </w:tc>
      </w:tr>
      <w:tr>
        <w:tc>
          <w:tcPr>
            <w:tcW w:type="dxa" w:w="50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valuationDate</w:t>
            </w:r>
          </w:p>
        </w:tc>
        <w:tc>
          <w:tcPr>
            <w:tcW w:type="dxa" w:w="43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3</w:t>
            </w:r>
          </w:p>
        </w:tc>
      </w:tr>
      <w:tr>
        <w:tc>
          <w:tcPr>
            <w:tcW w:type="dxa" w:w="5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portfolio</w:t>
            </w:r>
          </w:p>
        </w:tc>
        <w:tc>
          <w:tcPr>
            <w:tcW w:type="dxa" w:w="4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ourier New" w:cs="Courier New" w:eastAsia="Courier New" w:hAnsi="Courier New"/>
                <w:b w:val="false"/>
                <w:bCs w:val="false"/>
                <w:sz w:val="18"/>
                <w:szCs w:val="18"/>
              </w:rPr>
              <w:t xml:space="preserve">4</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This is stored as a standard hash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std::unordered_map&lt;std::string, int&gt; columnIndex;</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Populated once per file, ahead of Row Group streaming</w:t>
            </w:r>
          </w:p>
          <w:p>
            <w:pPr>
              <w:spacing w:after="0" w:line="240"/>
            </w:pPr>
            <w:r>
              <w:rPr>
                <w:rFonts w:ascii="Courier New" w:cs="Courier New" w:eastAsia="Courier New" w:hAnsi="Courier New"/>
                <w:color w:val="1A1A1A"/>
                <w:sz w:val="18"/>
                <w:szCs w:val="18"/>
              </w:rPr>
              <w:t xml:space="preserve">for (int i = 0; i &lt; parquetSchema.num_columns(); ++i) {</w:t>
            </w:r>
          </w:p>
          <w:p>
            <w:pPr>
              <w:spacing w:after="0" w:line="240"/>
            </w:pPr>
            <w:r>
              <w:rPr>
                <w:rFonts w:ascii="Courier New" w:cs="Courier New" w:eastAsia="Courier New" w:hAnsi="Courier New"/>
                <w:color w:val="1A1A1A"/>
                <w:sz w:val="18"/>
                <w:szCs w:val="18"/>
              </w:rPr>
              <w:t xml:space="preserve">    columnIndex.emplace(parquetSchema.column(i)-&gt;name(), i);</w:t>
            </w:r>
          </w:p>
          <w:p>
            <w:pPr>
              <w:spacing w:after="0" w:line="240"/>
            </w:pPr>
            <w:r>
              <w:rPr>
                <w:rFonts w:ascii="Courier New" w:cs="Courier New" w:eastAsia="Courier New" w:hAnsi="Courier New"/>
                <w:color w:val="1A1A1A"/>
                <w:sz w:val="18"/>
                <w:szCs w:val="18"/>
              </w:rPr>
              <w:t xml:space="preserve">}</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After initialization, every column lookup during Row Group processing is an amortized O(1) hash-map access. No further name-based searches occur while streaming deals.</w:t>
      </w:r>
    </w:p>
    <w:p>
      <w:pPr>
        <w:pStyle w:val="Heading1"/>
        <w:spacing w:after="160" w:before="360"/>
      </w:pPr>
      <w:r>
        <w:rPr>
          <w:rFonts w:ascii="Calibri" w:cs="Calibri" w:eastAsia="Calibri" w:hAnsi="Calibri"/>
        </w:rPr>
        <w:t xml:space="preserve">10. Performance Considerations</w:t>
      </w:r>
    </w:p>
    <w:p>
      <w:pPr>
        <w:spacing w:after="160" w:line="276"/>
        <w:jc w:val="both"/>
      </w:pPr>
      <w:r>
        <w:rPr>
          <w:rFonts w:ascii="Calibri" w:cs="Calibri" w:eastAsia="Calibri" w:hAnsi="Calibri"/>
          <w:b w:val="false"/>
          <w:bCs w:val="false"/>
          <w:i w:val="false"/>
          <w:iCs w:val="false"/>
          <w:sz w:val="22"/>
          <w:szCs w:val="22"/>
        </w:rPr>
        <w:t xml:space="preserve">Schema discovery executes exactly once per Parquet file, at initialization time — not per row, not per Row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536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w:t>
            </w:r>
          </w:p>
        </w:tc>
      </w:tr>
      <w:tr>
        <w:tc>
          <w:tcPr>
            <w:tcW w:type="dxa" w:w="4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Example dataset</w:t>
            </w:r>
          </w:p>
        </w:tc>
        <w:tc>
          <w:tcPr>
            <w:tcW w:type="dxa" w:w="5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FMTM Book</w:t>
            </w:r>
          </w:p>
        </w:tc>
      </w:tr>
      <w:tr>
        <w:tc>
          <w:tcPr>
            <w:tcW w:type="dxa" w:w="40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Deal count</w:t>
            </w:r>
          </w:p>
        </w:tc>
        <w:tc>
          <w:tcPr>
            <w:tcW w:type="dxa" w:w="53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48,178 deals</w:t>
            </w:r>
          </w:p>
        </w:tc>
      </w:tr>
      <w:tr>
        <w:tc>
          <w:tcPr>
            <w:tcW w:type="dxa" w:w="4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Schema width</w:t>
            </w:r>
          </w:p>
        </w:tc>
        <w:tc>
          <w:tcPr>
            <w:tcW w:type="dxa" w:w="5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25 columns</w:t>
            </w:r>
          </w:p>
        </w:tc>
      </w:tr>
      <w:tr>
        <w:tc>
          <w:tcPr>
            <w:tcW w:type="dxa" w:w="40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Initialization cost</w:t>
            </w:r>
          </w:p>
        </w:tc>
        <w:tc>
          <w:tcPr>
            <w:tcW w:type="dxa" w:w="53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25 iterations (one per column)</w:t>
            </w:r>
          </w:p>
        </w:tc>
      </w:tr>
      <w:tr>
        <w:tc>
          <w:tcPr>
            <w:tcW w:type="dxa" w:w="4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Deal processing cost</w:t>
            </w:r>
          </w:p>
        </w:tc>
        <w:tc>
          <w:tcPr>
            <w:tcW w:type="dxa" w:w="5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48,178 × O(1) lookups</w:t>
            </w:r>
          </w:p>
        </w:tc>
      </w:tr>
    </w:tbl>
    <w:p>
      <w:pPr>
        <w:spacing w:after="160"/>
      </w:pPr>
    </w:p>
    <w:p>
      <w:pPr>
        <w:spacing w:after="160" w:line="276"/>
        <w:jc w:val="both"/>
      </w:pPr>
      <w:r>
        <w:rPr>
          <w:rFonts w:ascii="Calibri" w:cs="Calibri" w:eastAsia="Calibri" w:hAnsi="Calibri"/>
          <w:b w:val="false"/>
          <w:bCs w:val="false"/>
          <w:i w:val="false"/>
          <w:iCs w:val="false"/>
          <w:sz w:val="22"/>
          <w:szCs w:val="22"/>
        </w:rPr>
        <w:t xml:space="preserve">The one-time initialization overhead of 25 iterations is negligible relative to processing tens of thousands of deals. The proposal therefore preserves the throughput required by FMTM and, by extension, any dataset of comparable or larger size.</w:t>
      </w:r>
    </w:p>
    <w:p>
      <w:pPr>
        <w:pStyle w:val="Heading1"/>
        <w:spacing w:after="160" w:before="360"/>
      </w:pPr>
      <w:r>
        <w:rPr>
          <w:rFonts w:ascii="Calibri" w:cs="Calibri" w:eastAsia="Calibri" w:hAnsi="Calibri"/>
        </w:rPr>
        <w:t xml:space="preserve">11. Benefits</w:t>
      </w:r>
    </w:p>
    <w:p>
      <w:pPr>
        <w:pStyle w:val="Heading2"/>
        <w:spacing w:after="120" w:before="280"/>
      </w:pPr>
      <w:r>
        <w:rPr>
          <w:rFonts w:ascii="Calibri" w:cs="Calibri" w:eastAsia="Calibri" w:hAnsi="Calibri"/>
        </w:rPr>
        <w:t xml:space="preserve">11.1 Independent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Current Model</w:t>
            </w:r>
          </w:p>
        </w:tc>
        <w:tc>
          <w:tcPr>
            <w:tcW w:type="dxa" w:w="468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Proposed Model</w:t>
            </w:r>
          </w:p>
        </w:tc>
      </w:tr>
      <w:tr>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Schema Change -&gt; C++ Change -&gt; Deployment</w:t>
            </w:r>
          </w:p>
        </w:tc>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Schema Change -&gt; Update Registry JSON -&gt; Done</w:t>
            </w:r>
          </w:p>
        </w:tc>
      </w:tr>
    </w:tbl>
    <w:p>
      <w:pPr>
        <w:spacing w:after="160"/>
      </w:pPr>
    </w:p>
    <w:p>
      <w:pPr>
        <w:pStyle w:val="Heading2"/>
        <w:spacing w:after="120" w:before="280"/>
      </w:pPr>
      <w:r>
        <w:rPr>
          <w:rFonts w:ascii="Calibri" w:cs="Calibri" w:eastAsia="Calibri" w:hAnsi="Calibri"/>
        </w:rPr>
        <w:t xml:space="preserve">11.2 Multiple Concurrent Versions</w:t>
      </w:r>
    </w:p>
    <w:p>
      <w:pPr>
        <w:spacing w:after="160" w:line="276"/>
        <w:jc w:val="both"/>
      </w:pPr>
      <w:r>
        <w:rPr>
          <w:rFonts w:ascii="Calibri" w:cs="Calibri" w:eastAsia="Calibri" w:hAnsi="Calibri"/>
          <w:b w:val="false"/>
          <w:bCs w:val="false"/>
          <w:i w:val="false"/>
          <w:iCs w:val="false"/>
          <w:sz w:val="22"/>
          <w:szCs w:val="22"/>
        </w:rPr>
        <w:t xml:space="preserve">Different clients may continue operating against different schema versions of the same dataset simultaneously —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Dataset</w:t>
            </w:r>
          </w:p>
        </w:tc>
        <w:tc>
          <w:tcPr>
            <w:tcW w:type="dxa" w:w="636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Active Versions</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FMTM</w:t>
            </w:r>
          </w:p>
        </w:tc>
        <w:tc>
          <w:tcPr>
            <w:tcW w:type="dxa" w:w="63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v1, v2, v3 (concurrently)</w:t>
            </w:r>
          </w:p>
        </w:tc>
      </w:tr>
    </w:tbl>
    <w:p>
      <w:pPr>
        <w:spacing w:after="160"/>
      </w:pPr>
    </w:p>
    <w:p>
      <w:pPr>
        <w:pStyle w:val="Heading2"/>
        <w:spacing w:after="120" w:before="280"/>
      </w:pPr>
      <w:r>
        <w:rPr>
          <w:rFonts w:ascii="Calibri" w:cs="Calibri" w:eastAsia="Calibri" w:hAnsi="Calibri"/>
        </w:rPr>
        <w:t xml:space="preserve">11.3 Separation of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Team</w:t>
            </w:r>
          </w:p>
        </w:tc>
        <w:tc>
          <w:tcPr>
            <w:tcW w:type="dxa" w:w="676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Owns</w:t>
            </w:r>
          </w:p>
        </w:tc>
      </w:tr>
      <w:t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Data Provisioning</w:t>
            </w:r>
          </w:p>
        </w:tc>
        <w:tc>
          <w:tcPr>
            <w:tcW w:type="dxa" w:w="67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Schema definitions, business fields, required columns</w:t>
            </w:r>
          </w:p>
        </w:tc>
      </w:tr>
      <w:tr>
        <w:tc>
          <w:tcPr>
            <w:tcW w:type="dxa" w:w="260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XDE</w:t>
            </w:r>
          </w:p>
        </w:tc>
        <w:tc>
          <w:tcPr>
            <w:tcW w:type="dxa" w:w="676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Parquet reading, schema discovery, lookup map, Row Group distribution and streaming</w:t>
            </w:r>
          </w:p>
        </w:tc>
      </w:tr>
      <w:t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XENA LaaS</w:t>
            </w:r>
          </w:p>
        </w:tc>
        <w:tc>
          <w:tcPr>
            <w:tcW w:type="dxa" w:w="676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Registry infrastructure, configuration, version management</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No business knowledge is embedded in the processing engine itself.</w:t>
      </w:r>
    </w:p>
    <w:p>
      <w:pPr>
        <w:pStyle w:val="Heading1"/>
        <w:spacing w:after="160" w:before="360"/>
      </w:pPr>
      <w:r>
        <w:rPr>
          <w:rFonts w:ascii="Calibri" w:cs="Calibri" w:eastAsia="Calibri" w:hAnsi="Calibri"/>
        </w:rPr>
        <w:t xml:space="preserve">12. Example Registry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registry/</w:t>
            </w:r>
          </w:p>
          <w:p>
            <w:pPr>
              <w:spacing w:after="0" w:line="240"/>
            </w:pPr>
            <w:r>
              <w:rPr>
                <w:rFonts w:ascii="Courier New" w:cs="Courier New" w:eastAsia="Courier New" w:hAnsi="Courier New"/>
                <w:color w:val="1A1A1A"/>
                <w:sz w:val="18"/>
                <w:szCs w:val="18"/>
              </w:rPr>
              <w:t xml:space="preserve">    fmtm/</w:t>
            </w:r>
          </w:p>
          <w:p>
            <w:pPr>
              <w:spacing w:after="0" w:line="240"/>
            </w:pPr>
            <w:r>
              <w:rPr>
                <w:rFonts w:ascii="Courier New" w:cs="Courier New" w:eastAsia="Courier New" w:hAnsi="Courier New"/>
                <w:color w:val="1A1A1A"/>
                <w:sz w:val="18"/>
                <w:szCs w:val="18"/>
              </w:rPr>
              <w:t xml:space="preserve">        latest.json</w:t>
            </w:r>
          </w:p>
          <w:p>
            <w:pPr>
              <w:spacing w:after="0" w:line="240"/>
            </w:pPr>
            <w:r>
              <w:rPr>
                <w:rFonts w:ascii="Courier New" w:cs="Courier New" w:eastAsia="Courier New" w:hAnsi="Courier New"/>
                <w:color w:val="1A1A1A"/>
                <w:sz w:val="18"/>
                <w:szCs w:val="18"/>
              </w:rPr>
              <w:t xml:space="preserve">        v1.json</w:t>
            </w:r>
          </w:p>
          <w:p>
            <w:pPr>
              <w:spacing w:after="0" w:line="240"/>
            </w:pPr>
            <w:r>
              <w:rPr>
                <w:rFonts w:ascii="Courier New" w:cs="Courier New" w:eastAsia="Courier New" w:hAnsi="Courier New"/>
                <w:color w:val="1A1A1A"/>
                <w:sz w:val="18"/>
                <w:szCs w:val="18"/>
              </w:rPr>
              <w:t xml:space="preserve">        v2.json</w:t>
            </w:r>
          </w:p>
          <w:p>
            <w:pPr>
              <w:spacing w:after="0" w:line="240"/>
            </w:pPr>
            <w:r>
              <w:rPr>
                <w:rFonts w:ascii="Courier New" w:cs="Courier New" w:eastAsia="Courier New" w:hAnsi="Courier New"/>
                <w:color w:val="1A1A1A"/>
                <w:sz w:val="18"/>
                <w:szCs w:val="18"/>
              </w:rPr>
              <w:t xml:space="preserve">    calibration/</w:t>
            </w:r>
          </w:p>
          <w:p>
            <w:pPr>
              <w:spacing w:after="0" w:line="240"/>
            </w:pPr>
            <w:r>
              <w:rPr>
                <w:rFonts w:ascii="Courier New" w:cs="Courier New" w:eastAsia="Courier New" w:hAnsi="Courier New"/>
                <w:color w:val="1A1A1A"/>
                <w:sz w:val="18"/>
                <w:szCs w:val="18"/>
              </w:rPr>
              <w:t xml:space="preserve">        latest.json</w:t>
            </w:r>
          </w:p>
          <w:p>
            <w:pPr>
              <w:spacing w:after="0" w:line="240"/>
            </w:pPr>
            <w:r>
              <w:rPr>
                <w:rFonts w:ascii="Courier New" w:cs="Courier New" w:eastAsia="Courier New" w:hAnsi="Courier New"/>
                <w:color w:val="1A1A1A"/>
                <w:sz w:val="18"/>
                <w:szCs w:val="18"/>
              </w:rPr>
              <w:t xml:space="preserve">        v1.json</w:t>
            </w:r>
          </w:p>
          <w:p>
            <w:pPr>
              <w:spacing w:after="0" w:line="240"/>
            </w:pPr>
            <w:r>
              <w:rPr>
                <w:rFonts w:ascii="Courier New" w:cs="Courier New" w:eastAsia="Courier New" w:hAnsi="Courier New"/>
                <w:color w:val="1A1A1A"/>
                <w:sz w:val="18"/>
                <w:szCs w:val="18"/>
              </w:rPr>
              <w:t xml:space="preserve">    emir/</w:t>
            </w:r>
          </w:p>
          <w:p>
            <w:pPr>
              <w:spacing w:after="0" w:line="240"/>
            </w:pPr>
            <w:r>
              <w:rPr>
                <w:rFonts w:ascii="Courier New" w:cs="Courier New" w:eastAsia="Courier New" w:hAnsi="Courier New"/>
                <w:color w:val="1A1A1A"/>
                <w:sz w:val="18"/>
                <w:szCs w:val="18"/>
              </w:rPr>
              <w:t xml:space="preserve">        latest.json</w:t>
            </w:r>
          </w:p>
          <w:p>
            <w:pPr>
              <w:spacing w:after="0" w:line="240"/>
            </w:pPr>
            <w:r>
              <w:rPr>
                <w:rFonts w:ascii="Courier New" w:cs="Courier New" w:eastAsia="Courier New" w:hAnsi="Courier New"/>
                <w:color w:val="1A1A1A"/>
                <w:sz w:val="18"/>
                <w:szCs w:val="18"/>
              </w:rPr>
              <w:t xml:space="preserve">        v1.json</w:t>
            </w:r>
          </w:p>
          <w:p>
            <w:pPr>
              <w:spacing w:after="0" w:line="240"/>
            </w:pPr>
            <w:r>
              <w:rPr>
                <w:rFonts w:ascii="Courier New" w:cs="Courier New" w:eastAsia="Courier New" w:hAnsi="Courier New"/>
                <w:color w:val="1A1A1A"/>
                <w:sz w:val="18"/>
                <w:szCs w:val="18"/>
              </w:rPr>
              <w:t xml:space="preserve">    libraries/</w:t>
            </w:r>
          </w:p>
          <w:p>
            <w:pPr>
              <w:spacing w:after="0" w:line="240"/>
            </w:pPr>
            <w:r>
              <w:rPr>
                <w:rFonts w:ascii="Courier New" w:cs="Courier New" w:eastAsia="Courier New" w:hAnsi="Courier New"/>
                <w:color w:val="1A1A1A"/>
                <w:sz w:val="18"/>
                <w:szCs w:val="18"/>
              </w:rPr>
              <w:t xml:space="preserve">        libraries.json</w:t>
            </w:r>
          </w:p>
        </w:tc>
      </w:tr>
    </w:tbl>
    <w:p>
      <w:pPr>
        <w:pStyle w:val="Heading1"/>
        <w:spacing w:after="160" w:before="360"/>
      </w:pPr>
      <w:r>
        <w:rPr>
          <w:rFonts w:ascii="Calibri" w:cs="Calibri" w:eastAsia="Calibri" w:hAnsi="Calibri"/>
        </w:rPr>
        <w:t xml:space="preserve">13. Worked Example — End to End</w:t>
      </w:r>
    </w:p>
    <w:p>
      <w:pPr>
        <w:pStyle w:val="Heading3"/>
        <w:spacing w:after="100" w:before="200"/>
      </w:pPr>
      <w:r>
        <w:rPr>
          <w:rFonts w:ascii="Calibri" w:cs="Calibri" w:eastAsia="Calibri" w:hAnsi="Calibri"/>
        </w:rPr>
        <w:t xml:space="preserve">Input: book.parquet</w:t>
      </w:r>
    </w:p>
    <w:p>
      <w:pPr>
        <w:spacing w:after="160" w:line="276"/>
        <w:jc w:val="both"/>
      </w:pPr>
      <w:r>
        <w:rPr>
          <w:rFonts w:ascii="Calibri" w:cs="Calibri" w:eastAsia="Calibri" w:hAnsi="Calibri"/>
          <w:b w:val="false"/>
          <w:bCs w:val="false"/>
          <w:i w:val="false"/>
          <w:iCs w:val="false"/>
          <w:sz w:val="22"/>
          <w:szCs w:val="22"/>
        </w:rPr>
        <w:t xml:space="preserve">The Parquet file's embedded schema exposes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9"/>
                <w:szCs w:val="19"/>
              </w:rPr>
              <w:t xml:space="preserve">trade</w:t>
            </w:r>
          </w:p>
          <w:p>
            <w:pPr>
              <w:spacing w:after="0" w:line="240"/>
            </w:pPr>
            <w:r>
              <w:rPr>
                <w:rFonts w:ascii="Courier New" w:cs="Courier New" w:eastAsia="Courier New" w:hAnsi="Courier New"/>
                <w:color w:val="1A1A1A"/>
                <w:sz w:val="19"/>
                <w:szCs w:val="19"/>
              </w:rPr>
              <w:t xml:space="preserve">ccy</w:t>
            </w:r>
          </w:p>
          <w:p>
            <w:pPr>
              <w:spacing w:after="0" w:line="240"/>
            </w:pPr>
            <w:r>
              <w:rPr>
                <w:rFonts w:ascii="Courier New" w:cs="Courier New" w:eastAsia="Courier New" w:hAnsi="Courier New"/>
                <w:color w:val="1A1A1A"/>
                <w:sz w:val="19"/>
                <w:szCs w:val="19"/>
              </w:rPr>
              <w:t xml:space="preserve">valuationDate</w:t>
            </w:r>
          </w:p>
          <w:p>
            <w:pPr>
              <w:spacing w:after="0" w:line="240"/>
            </w:pPr>
            <w:r>
              <w:rPr>
                <w:rFonts w:ascii="Courier New" w:cs="Courier New" w:eastAsia="Courier New" w:hAnsi="Courier New"/>
                <w:color w:val="1A1A1A"/>
                <w:sz w:val="19"/>
                <w:szCs w:val="19"/>
              </w:rPr>
              <w:t xml:space="preserve">portfolio</w:t>
            </w:r>
          </w:p>
          <w:p>
            <w:pPr>
              <w:spacing w:after="0" w:line="240"/>
            </w:pPr>
            <w:r>
              <w:rPr>
                <w:rFonts w:ascii="Courier New" w:cs="Courier New" w:eastAsia="Courier New" w:hAnsi="Courier New"/>
                <w:color w:val="1A1A1A"/>
                <w:sz w:val="19"/>
                <w:szCs w:val="19"/>
              </w:rPr>
              <w:t xml:space="preserve">legalEntity</w:t>
            </w:r>
          </w:p>
        </w:tc>
      </w:tr>
    </w:tbl>
    <w:p>
      <w:pPr>
        <w:spacing w:after="100"/>
      </w:pPr>
    </w:p>
    <w:p>
      <w:pPr>
        <w:pStyle w:val="Heading3"/>
        <w:spacing w:after="100" w:before="200"/>
      </w:pPr>
      <w:r>
        <w:rPr>
          <w:rFonts w:ascii="Calibri" w:cs="Calibri" w:eastAsia="Calibri" w:hAnsi="Calibri"/>
        </w:rPr>
        <w:t xml:space="preserve">Registry requirement (fmtm/latest.json)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9"/>
                <w:szCs w:val="19"/>
              </w:rPr>
              <w:t xml:space="preserve">required: trade, ccy, valuationDate</w:t>
            </w:r>
          </w:p>
        </w:tc>
      </w:tr>
    </w:tbl>
    <w:p>
      <w:pPr>
        <w:spacing w:after="100"/>
      </w:pPr>
    </w:p>
    <w:p>
      <w:pPr>
        <w:pStyle w:val="Heading3"/>
        <w:spacing w:after="100" w:before="200"/>
      </w:pPr>
      <w:r>
        <w:rPr>
          <w:rFonts w:ascii="Calibri" w:cs="Calibri" w:eastAsia="Calibri" w:hAnsi="Calibri"/>
        </w:rPr>
        <w:t xml:space="preserv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Required Column</w:t>
            </w:r>
          </w:p>
        </w:tc>
        <w:tc>
          <w:tcPr>
            <w:tcW w:type="dxa" w:w="468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Present in File?</w:t>
            </w:r>
          </w:p>
        </w:tc>
      </w:tr>
      <w:tr>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trade</w:t>
            </w:r>
          </w:p>
        </w:tc>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Yes</w:t>
            </w:r>
          </w:p>
        </w:tc>
      </w:tr>
      <w:tr>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ccy</w:t>
            </w:r>
          </w:p>
        </w:tc>
        <w:tc>
          <w:tcPr>
            <w:tcW w:type="dxa" w:w="468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Yes</w:t>
            </w:r>
          </w:p>
        </w:tc>
      </w:tr>
      <w:tr>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valuationDate</w:t>
            </w:r>
          </w:p>
        </w:tc>
        <w:tc>
          <w:tcPr>
            <w:tcW w:type="dxa" w:w="468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Yes</w:t>
            </w:r>
          </w:p>
        </w:tc>
      </w:tr>
    </w:tbl>
    <w:p>
      <w:pPr>
        <w:spacing w:after="120"/>
      </w:pPr>
    </w:p>
    <w:p>
      <w:pPr>
        <w:pStyle w:val="Heading3"/>
        <w:spacing w:after="100" w:before="200"/>
      </w:pPr>
      <w:r>
        <w:rPr>
          <w:rFonts w:ascii="Calibri" w:cs="Calibri" w:eastAsia="Calibri" w:hAnsi="Calibri"/>
        </w:rPr>
        <w:t xml:space="preserve">Resulting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9"/>
                <w:szCs w:val="19"/>
              </w:rPr>
              <w:t xml:space="preserve">trade -&gt; column 0</w:t>
            </w:r>
          </w:p>
          <w:p>
            <w:pPr>
              <w:spacing w:after="0" w:line="240"/>
            </w:pPr>
            <w:r>
              <w:rPr>
                <w:rFonts w:ascii="Courier New" w:cs="Courier New" w:eastAsia="Courier New" w:hAnsi="Courier New"/>
                <w:color w:val="1A1A1A"/>
                <w:sz w:val="19"/>
                <w:szCs w:val="19"/>
              </w:rPr>
              <w:t xml:space="preserve">ccy -&gt; column 1</w:t>
            </w:r>
          </w:p>
          <w:p>
            <w:pPr>
              <w:spacing w:after="0" w:line="240"/>
            </w:pPr>
            <w:r>
              <w:rPr>
                <w:rFonts w:ascii="Courier New" w:cs="Courier New" w:eastAsia="Courier New" w:hAnsi="Courier New"/>
                <w:color w:val="1A1A1A"/>
                <w:sz w:val="19"/>
                <w:szCs w:val="19"/>
              </w:rPr>
              <w:t xml:space="preserve">valuationDate -&gt; column 2</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Once validation succeeds and the lookup table is built, Row Group processing continues exactly as it does today — unchanged and unaffected by the source of the column list.</w:t>
      </w:r>
    </w:p>
    <w:p>
      <w:pPr>
        <w:pStyle w:val="Heading1"/>
        <w:spacing w:after="160" w:before="360"/>
      </w:pPr>
      <w:r>
        <w:rPr>
          <w:rFonts w:ascii="Calibri" w:cs="Calibri" w:eastAsia="Calibri" w:hAnsi="Calibri"/>
        </w:rPr>
        <w:t xml:space="preserve">14. Future Extensions</w:t>
      </w:r>
    </w:p>
    <w:p>
      <w:pPr>
        <w:spacing w:after="160" w:line="276"/>
        <w:jc w:val="both"/>
      </w:pPr>
      <w:r>
        <w:rPr>
          <w:rFonts w:ascii="Calibri" w:cs="Calibri" w:eastAsia="Calibri" w:hAnsi="Calibri"/>
          <w:b w:val="false"/>
          <w:bCs w:val="false"/>
          <w:i w:val="false"/>
          <w:iCs w:val="false"/>
          <w:sz w:val="22"/>
          <w:szCs w:val="22"/>
        </w:rPr>
        <w:t xml:space="preserve">The Registry format is designed to grow without breaking existing consumers. Candidate extensions include:</w:t>
      </w:r>
    </w:p>
    <w:p>
      <w:pPr>
        <w:pStyle w:val="Heading3"/>
        <w:spacing w:after="100" w:before="200"/>
      </w:pPr>
      <w:r>
        <w:rPr>
          <w:rFonts w:ascii="Calibri" w:cs="Calibri" w:eastAsia="Calibri" w:hAnsi="Calibri"/>
        </w:rPr>
        <w:t xml:space="preserve">14.1 Field Aliases</w:t>
      </w:r>
    </w:p>
    <w:p>
      <w:pPr>
        <w:spacing w:after="160" w:line="276"/>
        <w:jc w:val="both"/>
      </w:pPr>
      <w:r>
        <w:rPr>
          <w:rFonts w:ascii="Calibri" w:cs="Calibri" w:eastAsia="Calibri" w:hAnsi="Calibri"/>
          <w:b w:val="false"/>
          <w:bCs w:val="false"/>
          <w:i w:val="false"/>
          <w:iCs w:val="false"/>
          <w:sz w:val="22"/>
          <w:szCs w:val="22"/>
        </w:rPr>
        <w:t xml:space="preserve">Allow a single canonical field to be resolved from multiple historical or client-specific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"aliases": {</w:t>
            </w:r>
          </w:p>
          <w:p>
            <w:pPr>
              <w:spacing w:after="0" w:line="240"/>
            </w:pPr>
            <w:r>
              <w:rPr>
                <w:rFonts w:ascii="Courier New" w:cs="Courier New" w:eastAsia="Courier New" w:hAnsi="Courier New"/>
                <w:color w:val="1A1A1A"/>
                <w:sz w:val="18"/>
                <w:szCs w:val="18"/>
              </w:rPr>
              <w:t xml:space="preserve">    "currency": "ccy"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tc>
      </w:tr>
    </w:tbl>
    <w:p>
      <w:pPr>
        <w:spacing w:after="100"/>
      </w:pPr>
    </w:p>
    <w:p>
      <w:pPr>
        <w:pStyle w:val="Heading3"/>
        <w:spacing w:after="100" w:before="200"/>
      </w:pPr>
      <w:r>
        <w:rPr>
          <w:rFonts w:ascii="Calibri" w:cs="Calibri" w:eastAsia="Calibri" w:hAnsi="Calibri"/>
        </w:rPr>
        <w:t xml:space="preserve">14.2 Optional Defaults</w:t>
      </w:r>
    </w:p>
    <w:p>
      <w:pPr>
        <w:spacing w:after="160" w:line="276"/>
        <w:jc w:val="both"/>
      </w:pPr>
      <w:r>
        <w:rPr>
          <w:rFonts w:ascii="Calibri" w:cs="Calibri" w:eastAsia="Calibri" w:hAnsi="Calibri"/>
          <w:b w:val="false"/>
          <w:bCs w:val="false"/>
          <w:i w:val="false"/>
          <w:iCs w:val="false"/>
          <w:sz w:val="22"/>
          <w:szCs w:val="22"/>
        </w:rPr>
        <w:t xml:space="preserve">Provide a fallback value for optional columns absent from a given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"defaults": {</w:t>
            </w:r>
          </w:p>
          <w:p>
            <w:pPr>
              <w:spacing w:after="0" w:line="240"/>
            </w:pPr>
            <w:r>
              <w:rPr>
                <w:rFonts w:ascii="Courier New" w:cs="Courier New" w:eastAsia="Courier New" w:hAnsi="Courier New"/>
                <w:color w:val="1A1A1A"/>
                <w:sz w:val="18"/>
                <w:szCs w:val="18"/>
              </w:rPr>
              <w:t xml:space="preserve">    "legalEntity": "UNKNOWN"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tc>
      </w:tr>
    </w:tbl>
    <w:p>
      <w:pPr>
        <w:spacing w:after="100"/>
      </w:pPr>
    </w:p>
    <w:p>
      <w:pPr>
        <w:pStyle w:val="Heading3"/>
        <w:spacing w:after="100" w:before="200"/>
      </w:pPr>
      <w:r>
        <w:rPr>
          <w:rFonts w:ascii="Calibri" w:cs="Calibri" w:eastAsia="Calibri" w:hAnsi="Calibri"/>
        </w:rPr>
        <w:t xml:space="preserve">14.3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"validation": {</w:t>
            </w:r>
          </w:p>
          <w:p>
            <w:pPr>
              <w:spacing w:after="0" w:line="240"/>
            </w:pPr>
            <w:r>
              <w:rPr>
                <w:rFonts w:ascii="Courier New" w:cs="Courier New" w:eastAsia="Courier New" w:hAnsi="Courier New"/>
                <w:color w:val="1A1A1A"/>
                <w:sz w:val="18"/>
                <w:szCs w:val="18"/>
              </w:rPr>
              <w:t xml:space="preserve">    "trade": "required",</w:t>
            </w:r>
          </w:p>
          <w:p>
            <w:pPr>
              <w:spacing w:after="0" w:line="240"/>
            </w:pPr>
            <w:r>
              <w:rPr>
                <w:rFonts w:ascii="Courier New" w:cs="Courier New" w:eastAsia="Courier New" w:hAnsi="Courier New"/>
                <w:color w:val="1A1A1A"/>
                <w:sz w:val="18"/>
                <w:szCs w:val="18"/>
              </w:rPr>
              <w:t xml:space="preserve">    "ccy": "required",</w:t>
            </w:r>
          </w:p>
          <w:p>
            <w:pPr>
              <w:spacing w:after="0" w:line="240"/>
            </w:pPr>
            <w:r>
              <w:rPr>
                <w:rFonts w:ascii="Courier New" w:cs="Courier New" w:eastAsia="Courier New" w:hAnsi="Courier New"/>
                <w:color w:val="1A1A1A"/>
                <w:sz w:val="18"/>
                <w:szCs w:val="18"/>
              </w:rPr>
              <w:t xml:space="preserve">    "portfolio": "optional"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tc>
      </w:tr>
    </w:tbl>
    <w:p>
      <w:pPr>
        <w:spacing w:after="100"/>
      </w:pPr>
    </w:p>
    <w:p>
      <w:pPr>
        <w:pStyle w:val="Heading3"/>
        <w:spacing w:after="100" w:before="200"/>
      </w:pPr>
      <w:r>
        <w:rPr>
          <w:rFonts w:ascii="Calibri" w:cs="Calibri" w:eastAsia="Calibri" w:hAnsi="Calibri"/>
        </w:rPr>
        <w:t xml:space="preserve">14.4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"streamingEnabled": true,</w:t>
            </w:r>
          </w:p>
          <w:p>
            <w:pPr>
              <w:spacing w:after="0" w:line="240"/>
            </w:pPr>
            <w:r>
              <w:rPr>
                <w:rFonts w:ascii="Courier New" w:cs="Courier New" w:eastAsia="Courier New" w:hAnsi="Courier New"/>
                <w:color w:val="1A1A1A"/>
                <w:sz w:val="18"/>
                <w:szCs w:val="18"/>
              </w:rPr>
              <w:t xml:space="preserve">  "rowGroupDistribution": true</w:t>
            </w:r>
          </w:p>
          <w:p>
            <w:pPr>
              <w:spacing w:after="0" w:line="240"/>
            </w:pPr>
            <w:r>
              <w:rPr>
                <w:rFonts w:ascii="Courier New" w:cs="Courier New" w:eastAsia="Courier New" w:hAnsi="Courier New"/>
                <w:color w:val="1A1A1A"/>
                <w:sz w:val="18"/>
                <w:szCs w:val="18"/>
              </w:rPr>
              <w:t xml:space="preserve">}</w:t>
            </w:r>
          </w:p>
        </w:tc>
      </w:tr>
    </w:tbl>
    <w:p>
      <w:pPr>
        <w:pStyle w:val="Heading1"/>
        <w:spacing w:after="160" w:before="360"/>
      </w:pPr>
      <w:r>
        <w:rPr>
          <w:rFonts w:ascii="Calibri" w:cs="Calibri" w:eastAsia="Calibri" w:hAnsi="Calibri"/>
        </w:rPr>
        <w:t xml:space="preserve">15.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0" w:color="auto" w:val="clear"/>
            <w:tcMar>
              <w:top w:type="dxa" w:w="120"/>
              <w:left w:type="dxa" w:w="160"/>
              <w:bottom w:type="dxa" w:w="120"/>
              <w:right w:type="dxa" w:w="160"/>
            </w:tcMar>
          </w:tcPr>
          <w:p>
            <w:pPr>
              <w:spacing w:after="0" w:line="240"/>
            </w:pPr>
            <w:r>
              <w:rPr>
                <w:rFonts w:ascii="Courier New" w:cs="Courier New" w:eastAsia="Courier New" w:hAnsi="Courier New"/>
                <w:color w:val="1A1A1A"/>
                <w:sz w:val="16"/>
                <w:szCs w:val="16"/>
              </w:rPr>
              <w:t xml:space="preserve">                +----------------------------------------+</w:t>
            </w:r>
          </w:p>
          <w:p>
            <w:pPr>
              <w:spacing w:after="0" w:line="240"/>
            </w:pPr>
            <w:r>
              <w:rPr>
                <w:rFonts w:ascii="Courier New" w:cs="Courier New" w:eastAsia="Courier New" w:hAnsi="Courier New"/>
                <w:color w:val="1A1A1A"/>
                <w:sz w:val="16"/>
                <w:szCs w:val="16"/>
              </w:rPr>
              <w:t xml:space="preserve">                |          xena-config-{env}              |</w:t>
            </w:r>
          </w:p>
          <w:p>
            <w:pPr>
              <w:spacing w:after="0" w:line="240"/>
            </w:pPr>
            <w:r>
              <w:rPr>
                <w:rFonts w:ascii="Courier New" w:cs="Courier New" w:eastAsia="Courier New" w:hAnsi="Courier New"/>
                <w:color w:val="1A1A1A"/>
                <w:sz w:val="16"/>
                <w:szCs w:val="16"/>
              </w:rPr>
              <w:t xml:space="preserve">                |                                          |</w:t>
            </w:r>
          </w:p>
          <w:p>
            <w:pPr>
              <w:spacing w:after="0" w:line="240"/>
            </w:pPr>
            <w:r>
              <w:rPr>
                <w:rFonts w:ascii="Courier New" w:cs="Courier New" w:eastAsia="Courier New" w:hAnsi="Courier New"/>
                <w:color w:val="1A1A1A"/>
                <w:sz w:val="16"/>
                <w:szCs w:val="16"/>
              </w:rPr>
              <w:t xml:space="preserve">                |  registry/                               |</w:t>
            </w:r>
          </w:p>
          <w:p>
            <w:pPr>
              <w:spacing w:after="0" w:line="240"/>
            </w:pPr>
            <w:r>
              <w:rPr>
                <w:rFonts w:ascii="Courier New" w:cs="Courier New" w:eastAsia="Courier New" w:hAnsi="Courier New"/>
                <w:color w:val="1A1A1A"/>
                <w:sz w:val="16"/>
                <w:szCs w:val="16"/>
              </w:rPr>
              <w:t xml:space="preserve">                |    libraries/   fmtm/  calibration/ emir/ |</w:t>
            </w:r>
          </w:p>
          <w:p>
            <w:pPr>
              <w:spacing w:after="0" w:line="240"/>
            </w:pPr>
            <w:r>
              <w:rPr>
                <w:rFonts w:ascii="Courier New" w:cs="Courier New" w:eastAsia="Courier New" w:hAnsi="Courier New"/>
                <w:color w:val="1A1A1A"/>
                <w:sz w:val="16"/>
                <w:szCs w:val="16"/>
              </w:rPr>
              <w:t xml:space="preserve">                +--------------------+---------------------+</w:t>
            </w:r>
          </w:p>
          <w:p>
            <w:pPr>
              <w:spacing w:after="0" w:line="240"/>
            </w:pPr>
            <w:r>
              <w:rPr>
                <w:rFonts w:ascii="Courier New" w:cs="Courier New" w:eastAsia="Courier New" w:hAnsi="Courier New"/>
                <w:color w:val="1A1A1A"/>
                <w:sz w:val="16"/>
                <w:szCs w:val="16"/>
              </w:rPr>
              <w:t xml:space="preserve">                                     |</w:t>
            </w:r>
          </w:p>
          <w:p>
            <w:pPr>
              <w:spacing w:after="0" w:line="240"/>
            </w:pPr>
            <w:r>
              <w:rPr>
                <w:rFonts w:ascii="Courier New" w:cs="Courier New" w:eastAsia="Courier New" w:hAnsi="Courier New"/>
                <w:color w:val="1A1A1A"/>
                <w:sz w:val="16"/>
                <w:szCs w:val="16"/>
              </w:rPr>
              <w:t xml:space="preserve">                                     | Load Schema Registry</w:t>
            </w:r>
          </w:p>
          <w:p>
            <w:pPr>
              <w:spacing w:after="0" w:line="240"/>
            </w:pPr>
            <w:r>
              <w:rPr>
                <w:rFonts w:ascii="Courier New" w:cs="Courier New" w:eastAsia="Courier New" w:hAnsi="Courier New"/>
                <w:color w:val="1A1A1A"/>
                <w:sz w:val="16"/>
                <w:szCs w:val="16"/>
              </w:rPr>
              <w:t xml:space="preserve">                                     v</w:t>
            </w:r>
          </w:p>
          <w:p>
            <w:pPr>
              <w:spacing w:after="0" w:line="240"/>
            </w:pPr>
            <w:r>
              <w:rPr>
                <w:rFonts w:ascii="Courier New" w:cs="Courier New" w:eastAsia="Courier New" w:hAnsi="Courier New"/>
                <w:color w:val="1A1A1A"/>
                <w:sz w:val="16"/>
                <w:szCs w:val="16"/>
              </w:rPr>
              <w:t xml:space="preserve">  +--------------------+   +--------------------------------+</w:t>
            </w:r>
          </w:p>
          <w:p>
            <w:pPr>
              <w:spacing w:after="0" w:line="240"/>
            </w:pPr>
            <w:r>
              <w:rPr>
                <w:rFonts w:ascii="Courier New" w:cs="Courier New" w:eastAsia="Courier New" w:hAnsi="Courier New"/>
                <w:color w:val="1A1A1A"/>
                <w:sz w:val="16"/>
                <w:szCs w:val="16"/>
              </w:rPr>
              <w:t xml:space="preserve">  |    book.parquet    |   |              XDE                |</w:t>
            </w:r>
          </w:p>
          <w:p>
            <w:pPr>
              <w:spacing w:after="0" w:line="240"/>
            </w:pPr>
            <w:r>
              <w:rPr>
                <w:rFonts w:ascii="Courier New" w:cs="Courier New" w:eastAsia="Courier New" w:hAnsi="Courier New"/>
                <w:color w:val="1A1A1A"/>
                <w:sz w:val="16"/>
                <w:szCs w:val="16"/>
              </w:rPr>
              <w:t xml:space="preserve">  | (Data Provisioning)|--&gt;|----------------------------------|</w:t>
            </w:r>
          </w:p>
          <w:p>
            <w:pPr>
              <w:spacing w:after="0" w:line="240"/>
            </w:pPr>
            <w:r>
              <w:rPr>
                <w:rFonts w:ascii="Courier New" w:cs="Courier New" w:eastAsia="Courier New" w:hAnsi="Courier New"/>
                <w:color w:val="1A1A1A"/>
                <w:sz w:val="16"/>
                <w:szCs w:val="16"/>
              </w:rPr>
              <w:t xml:space="preserve">  +--------------------+   | Read Parquet Schema              |</w:t>
            </w:r>
          </w:p>
          <w:p>
            <w:pPr>
              <w:spacing w:after="0" w:line="240"/>
            </w:pPr>
            <w:r>
              <w:rPr>
                <w:rFonts w:ascii="Courier New" w:cs="Courier New" w:eastAsia="Courier New" w:hAnsi="Courier New"/>
                <w:color w:val="1A1A1A"/>
                <w:sz w:val="16"/>
                <w:szCs w:val="16"/>
              </w:rPr>
              <w:t xml:space="preserve">                            | Validate Registry                |</w:t>
            </w:r>
          </w:p>
          <w:p>
            <w:pPr>
              <w:spacing w:after="0" w:line="240"/>
            </w:pPr>
            <w:r>
              <w:rPr>
                <w:rFonts w:ascii="Courier New" w:cs="Courier New" w:eastAsia="Courier New" w:hAnsi="Courier New"/>
                <w:color w:val="1A1A1A"/>
                <w:sz w:val="16"/>
                <w:szCs w:val="16"/>
              </w:rPr>
              <w:t xml:space="preserve">                            | Build Column Map                 |</w:t>
            </w:r>
          </w:p>
          <w:p>
            <w:pPr>
              <w:spacing w:after="0" w:line="240"/>
            </w:pPr>
            <w:r>
              <w:rPr>
                <w:rFonts w:ascii="Courier New" w:cs="Courier New" w:eastAsia="Courier New" w:hAnsi="Courier New"/>
                <w:color w:val="1A1A1A"/>
                <w:sz w:val="16"/>
                <w:szCs w:val="16"/>
              </w:rPr>
              <w:t xml:space="preserve">                            | Stream Row Groups                |</w:t>
            </w:r>
          </w:p>
          <w:p>
            <w:pPr>
              <w:spacing w:after="0" w:line="240"/>
            </w:pPr>
            <w:r>
              <w:rPr>
                <w:rFonts w:ascii="Courier New" w:cs="Courier New" w:eastAsia="Courier New" w:hAnsi="Courier New"/>
                <w:color w:val="1A1A1A"/>
                <w:sz w:val="16"/>
                <w:szCs w:val="16"/>
              </w:rPr>
              <w:t xml:space="preserve">                            | Process Deals                    |</w:t>
            </w:r>
          </w:p>
          <w:p>
            <w:pPr>
              <w:spacing w:after="0" w:line="240"/>
            </w:pPr>
            <w:r>
              <w:rPr>
                <w:rFonts w:ascii="Courier New" w:cs="Courier New" w:eastAsia="Courier New" w:hAnsi="Courier New"/>
                <w:color w:val="1A1A1A"/>
                <w:sz w:val="16"/>
                <w:szCs w:val="16"/>
              </w:rPr>
              <w:t xml:space="preserve">                            +----------------+-----------------+</w:t>
            </w:r>
          </w:p>
          <w:p>
            <w:pPr>
              <w:spacing w:after="0" w:line="240"/>
            </w:pPr>
            <w:r>
              <w:rPr>
                <w:rFonts w:ascii="Courier New" w:cs="Courier New" w:eastAsia="Courier New" w:hAnsi="Courier New"/>
                <w:color w:val="1A1A1A"/>
                <w:sz w:val="16"/>
                <w:szCs w:val="16"/>
              </w:rPr>
              <w:t xml:space="preserve">                                             |</w:t>
            </w:r>
          </w:p>
          <w:p>
            <w:pPr>
              <w:spacing w:after="0" w:line="240"/>
            </w:pPr>
            <w:r>
              <w:rPr>
                <w:rFonts w:ascii="Courier New" w:cs="Courier New" w:eastAsia="Courier New" w:hAnsi="Courier New"/>
                <w:color w:val="1A1A1A"/>
                <w:sz w:val="16"/>
                <w:szCs w:val="16"/>
              </w:rPr>
              <w:t xml:space="preserve">                                             v</w:t>
            </w:r>
          </w:p>
          <w:p>
            <w:pPr>
              <w:spacing w:after="0" w:line="240"/>
            </w:pPr>
            <w:r>
              <w:rPr>
                <w:rFonts w:ascii="Courier New" w:cs="Courier New" w:eastAsia="Courier New" w:hAnsi="Courier New"/>
                <w:color w:val="1A1A1A"/>
                <w:sz w:val="16"/>
                <w:szCs w:val="16"/>
              </w:rPr>
              <w:t xml:space="preserve">                                    GRID Processing</w:t>
            </w:r>
          </w:p>
        </w:tc>
      </w:tr>
    </w:tbl>
    <w:p>
      <w:pPr>
        <w:pStyle w:val="Heading1"/>
        <w:spacing w:after="160" w:before="360"/>
      </w:pPr>
      <w:r>
        <w:rPr>
          <w:rFonts w:ascii="Calibri" w:cs="Calibri" w:eastAsia="Calibri" w:hAnsi="Calibri"/>
        </w:rPr>
        <w:t xml:space="preserve">16. Conclusion</w:t>
      </w:r>
    </w:p>
    <w:p>
      <w:pPr>
        <w:spacing w:after="160" w:line="276"/>
        <w:jc w:val="both"/>
      </w:pPr>
      <w:r>
        <w:rPr>
          <w:rFonts w:ascii="Calibri" w:cs="Calibri" w:eastAsia="Calibri" w:hAnsi="Calibri"/>
          <w:b w:val="false"/>
          <w:bCs w:val="false"/>
          <w:i w:val="false"/>
          <w:iCs w:val="false"/>
          <w:sz w:val="22"/>
          <w:szCs w:val="22"/>
        </w:rPr>
        <w:t xml:space="preserve">This proposal transforms XDE from a code-driven Parquet reader into a configuration-driven processing engine.</w:t>
      </w:r>
    </w:p>
    <w:p>
      <w:pPr>
        <w:spacing w:after="160" w:line="276"/>
        <w:jc w:val="both"/>
      </w:pPr>
      <w:r>
        <w:rPr>
          <w:rFonts w:ascii="Calibri" w:cs="Calibri" w:eastAsia="Calibri" w:hAnsi="Calibri"/>
          <w:b w:val="false"/>
          <w:bCs w:val="false"/>
          <w:i w:val="false"/>
          <w:iCs w:val="false"/>
          <w:sz w:val="22"/>
          <w:szCs w:val="22"/>
        </w:rPr>
        <w:t xml:space="preserve">By extending the existing XENA LaaS Registry hosted in xena-config-{env}, XENA can support independent schema evolution without requiring C++ source modifications, recompilation, or redeployment — while preserving throughput, Row Group Distribution, and a clean separation of responsibilities between Data Provisioning, XDE, and XENA LaaS.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XENA — Parquet Schema Evolution ADD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5597"/>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XENA Parquet Schema Evolution and Registry-Based Configuration</dc:title>
  <dc:creator>Senior Solutions Architecture</dc:creator>
  <cp:lastModifiedBy>Un-named</cp:lastModifiedBy>
  <cp:revision>1</cp:revision>
  <dcterms:created xsi:type="dcterms:W3CDTF">2026-07-23T12:10:43.009Z</dcterms:created>
  <dcterms:modified xsi:type="dcterms:W3CDTF">2026-07-23T12:10:43.030Z</dcterms:modified>
</cp:coreProperties>
</file>

<file path=docProps/custom.xml><?xml version="1.0" encoding="utf-8"?>
<Properties xmlns="http://schemas.openxmlformats.org/officeDocument/2006/custom-properties" xmlns:vt="http://schemas.openxmlformats.org/officeDocument/2006/docPropsVTypes"/>
</file>