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E75B6"/>
          <w:sz w:val="48"/>
        </w:rPr>
        <w:t>Cloud Workload Placement Decision Tree</w:t>
      </w:r>
    </w:p>
    <w:p>
      <w:pPr>
        <w:jc w:val="center"/>
      </w:pPr>
      <w:r>
        <w:rPr>
          <w:color w:val="44546A"/>
          <w:sz w:val="28"/>
        </w:rPr>
        <w:t>Multi-Region Deployment Strategy for AWS and Azure</w:t>
      </w:r>
    </w:p>
    <w:p/>
    <w:p/>
    <w:p/>
    <w:p>
      <w:pPr>
        <w:jc w:val="center"/>
      </w:pPr>
      <w:r>
        <w:rPr>
          <w:i/>
        </w:rPr>
        <w:t>Document Version: 1.0</w:t>
      </w:r>
    </w:p>
    <w:p>
      <w:pPr>
        <w:jc w:val="center"/>
      </w:pPr>
      <w:r>
        <w:rPr>
          <w:i/>
        </w:rPr>
        <w:t>Date: December 2025</w:t>
      </w:r>
    </w:p>
    <w:p>
      <w:pPr>
        <w:jc w:val="center"/>
      </w:pPr>
      <w:r>
        <w:rPr>
          <w:b/>
          <w:color w:val="C00000"/>
        </w:rPr>
        <w:t>Classification: Internal Use Only</w:t>
      </w:r>
    </w:p>
    <w:p>
      <w:r>
        <w:br w:type="page"/>
      </w:r>
    </w:p>
    <w:p>
      <w:pPr>
        <w:pStyle w:val="Heading1"/>
      </w:pPr>
      <w:r>
        <w:t>1. Executive Summary</w:t>
      </w:r>
    </w:p>
    <w:p>
      <w:r>
        <w:t>This document establishes a comprehensive decision framework for cloud workload placement across multiple geographic regions in response to the Internal Audit recommendation regarding Technology Resilience Policy compliance. The framework addresses the identified gaps in formal risk analysis for workload concentration in cloud regions and provides a systematic approach for deployment decisions.</w:t>
      </w:r>
    </w:p>
    <w:p>
      <w:r>
        <w:t>Following successful Disaster Recovery tests in 2025 on cloud providers including Darwin, Glorec, Baltra, and Orbe, this framework establishes the necessary formal risk assessment process to evaluate workload placement before migration or deployment activities (End-to-End E2E process).</w:t>
      </w:r>
    </w:p>
    <w:p>
      <w:pPr>
        <w:pStyle w:val="Heading1"/>
      </w:pPr>
      <w:r>
        <w:t>2. Background and Context</w:t>
      </w:r>
    </w:p>
    <w:p>
      <w:pPr>
        <w:pStyle w:val="Heading2"/>
      </w:pPr>
      <w:r>
        <w:t>2.1 Audit Finding Summary</w:t>
      </w:r>
    </w:p>
    <w:p>
      <w:r>
        <w:t>The Internal Audit identified that while Disaster Recovery capabilities have been validated through testing in 2025, no formal, documented risk analysis exists to evaluate workload concentration before deploying, migrating, or moving technological workloads to cloud regions. The Technology Resilience Policy requires this analysis to ensure service continuity during disruptive events in cloud environments.</w:t>
      </w:r>
    </w:p>
    <w:p>
      <w:pPr>
        <w:pStyle w:val="Heading2"/>
      </w:pPr>
      <w:r>
        <w:t>2.2 Current Multi-Cloud Infrastructure</w:t>
      </w:r>
    </w:p>
    <w:p>
      <w:r>
        <w:t>Our organization maintains a multi-cloud strategy with critical applications deployed across:</w:t>
      </w:r>
    </w:p>
    <w:p>
      <w:pPr>
        <w:pStyle w:val="ListBullet"/>
      </w:pPr>
      <w:r>
        <w:t>Amazon Web Services (AWS): Multiple regions including Virginia, Frankfurt, Ireland, and Spain</w:t>
      </w:r>
    </w:p>
    <w:p>
      <w:pPr>
        <w:pStyle w:val="ListBullet"/>
      </w:pPr>
      <w:r>
        <w:t>Microsoft Azure: Amsterdam region (primary Azure deployment zone)</w:t>
      </w:r>
    </w:p>
    <w:p>
      <w:pPr>
        <w:pStyle w:val="ListBullet"/>
      </w:pPr>
      <w:r>
        <w:t>Google Cloud Platform (GCP): Components in various regions</w:t>
      </w:r>
    </w:p>
    <w:p>
      <w:r>
        <w:br w:type="page"/>
      </w:r>
    </w:p>
    <w:p>
      <w:pPr>
        <w:pStyle w:val="Heading1"/>
      </w:pPr>
      <w:r>
        <w:t>3. Strategic Objectives</w:t>
      </w:r>
    </w:p>
    <w:p>
      <w:r>
        <w:t>The cloud workload placement strategy achieves the following objectives:</w:t>
      </w:r>
    </w:p>
    <w:p>
      <w:pPr>
        <w:pStyle w:val="ListNumber"/>
      </w:pPr>
      <w:r>
        <w:t>Resilience and High Availability: Ensure service continuity through geographic distribution</w:t>
      </w:r>
    </w:p>
    <w:p>
      <w:pPr>
        <w:pStyle w:val="ListNumber"/>
      </w:pPr>
      <w:r>
        <w:t>Regulatory Compliance: Maintain adherence to data sovereignty and GDPR requirements</w:t>
      </w:r>
    </w:p>
    <w:p>
      <w:pPr>
        <w:pStyle w:val="ListNumber"/>
      </w:pPr>
      <w:r>
        <w:t>Performance Optimization: Minimize latency through proximity-based deployment</w:t>
      </w:r>
    </w:p>
    <w:p>
      <w:pPr>
        <w:pStyle w:val="ListNumber"/>
      </w:pPr>
      <w:r>
        <w:t>Cost Efficiency: Balance operational expenses while maintaining service levels</w:t>
      </w:r>
    </w:p>
    <w:p>
      <w:pPr>
        <w:pStyle w:val="ListNumber"/>
      </w:pPr>
      <w:r>
        <w:t>Risk Mitigation: Prevent workload concentration and minimize regional disruptions</w:t>
      </w:r>
    </w:p>
    <w:p>
      <w:pPr>
        <w:pStyle w:val="ListNumber"/>
      </w:pPr>
      <w:r>
        <w:t>Operational Excellence: Standardize deployment decisions through repeatable processes</w:t>
      </w:r>
    </w:p>
    <w:p>
      <w:r>
        <w:br w:type="page"/>
      </w:r>
    </w:p>
    <w:p>
      <w:pPr>
        <w:pStyle w:val="Heading1"/>
      </w:pPr>
      <w:r>
        <w:t>4. Decision Tree Framework</w:t>
      </w:r>
    </w:p>
    <w:p>
      <w:r>
        <w:t>The following decision tree provides a systematic approach for determining optimal cloud workload placement. Each decision point evaluates critical factors that influence regional deployment.</w:t>
      </w:r>
    </w:p>
    <w:p>
      <w:pPr>
        <w:pStyle w:val="Heading2"/>
      </w:pPr>
      <w:r>
        <w:t>4.1 Primary Decision Path</w:t>
      </w:r>
    </w:p>
    <w:tbl>
      <w:tblPr>
        <w:tblStyle w:val="LightGrid-Accent1"/>
        <w:tblW w:type="auto" w:w="0"/>
        <w:tblLook w:firstColumn="1" w:firstRow="1" w:lastColumn="0" w:lastRow="0" w:noHBand="0" w:noVBand="1" w:val="04A0"/>
      </w:tblPr>
      <w:tblGrid>
        <w:gridCol w:w="4320"/>
        <w:gridCol w:w="4320"/>
      </w:tblGrid>
      <w:tr>
        <w:tc>
          <w:tcPr>
            <w:tcW w:type="dxa" w:w="4320"/>
            <w:shd w:fill="2E75B6"/>
          </w:tcPr>
          <w:p>
            <w:pPr>
              <w:jc w:val="center"/>
            </w:pPr>
            <w:r>
              <w:rPr>
                <w:rFonts w:ascii="Arial" w:hAnsi="Arial"/>
                <w:b/>
                <w:color w:val="FFFFFF"/>
                <w:sz w:val="20"/>
              </w:rPr>
              <w:t>Decision Point</w:t>
            </w:r>
          </w:p>
        </w:tc>
        <w:tc>
          <w:tcPr>
            <w:tcW w:type="dxa" w:w="4320"/>
            <w:shd w:fill="2E75B6"/>
          </w:tcPr>
          <w:p>
            <w:pPr>
              <w:jc w:val="center"/>
            </w:pPr>
            <w:r>
              <w:rPr>
                <w:rFonts w:ascii="Arial" w:hAnsi="Arial"/>
                <w:b/>
                <w:color w:val="FFFFFF"/>
                <w:sz w:val="20"/>
              </w:rPr>
              <w:t>Evaluation Criteria and Outcomes</w:t>
            </w:r>
          </w:p>
        </w:tc>
      </w:tr>
      <w:tr>
        <w:tc>
          <w:tcPr>
            <w:tcW w:type="dxa" w:w="4320"/>
          </w:tcPr>
          <w:p>
            <w:r>
              <w:t>STEP 1:</w:t>
              <w:br/>
              <w:t>Data Sovereignty</w:t>
            </w:r>
          </w:p>
        </w:tc>
        <w:tc>
          <w:tcPr>
            <w:tcW w:type="dxa" w:w="4320"/>
          </w:tcPr>
          <w:p>
            <w:r>
              <w:t>Question: Does the workload process EU citizen data subject to GDPR?</w:t>
              <w:br/>
              <w:br/>
              <w:t>YES → Must deploy in EU region</w:t>
              <w:br/>
              <w:t>NO → Global deployment possible</w:t>
            </w:r>
          </w:p>
        </w:tc>
      </w:tr>
      <w:tr>
        <w:tc>
          <w:tcPr>
            <w:tcW w:type="dxa" w:w="4320"/>
          </w:tcPr>
          <w:p>
            <w:r>
              <w:t>STEP 2:</w:t>
              <w:br/>
              <w:t>Business Criticality</w:t>
            </w:r>
          </w:p>
        </w:tc>
        <w:tc>
          <w:tcPr>
            <w:tcW w:type="dxa" w:w="4320"/>
          </w:tcPr>
          <w:p>
            <w:r>
              <w:t>Question: What is the business impact classification?</w:t>
              <w:br/>
              <w:br/>
              <w:t>TIER 1 (Critical): Multi-region active-active required</w:t>
              <w:br/>
              <w:t>TIER 2 (High): Primary region with automated DR</w:t>
              <w:br/>
              <w:t>TIER 3 (Standard): Single region acceptable</w:t>
            </w:r>
          </w:p>
        </w:tc>
      </w:tr>
      <w:tr>
        <w:tc>
          <w:tcPr>
            <w:tcW w:type="dxa" w:w="4320"/>
          </w:tcPr>
          <w:p>
            <w:r>
              <w:t>STEP 3:</w:t>
              <w:br/>
              <w:t>Latency Requirements</w:t>
            </w:r>
          </w:p>
        </w:tc>
        <w:tc>
          <w:tcPr>
            <w:tcW w:type="dxa" w:w="4320"/>
          </w:tcPr>
          <w:p>
            <w:r>
              <w:t>Question: What are primary user locations?</w:t>
              <w:br/>
              <w:br/>
              <w:t>&lt; 50ms: Deploy in closest region</w:t>
              <w:br/>
              <w:t>50-100ms: Balance cost and resilience</w:t>
              <w:br/>
              <w:t>&gt; 100ms: Prioritize cost over proximity</w:t>
            </w:r>
          </w:p>
        </w:tc>
      </w:tr>
      <w:tr>
        <w:tc>
          <w:tcPr>
            <w:tcW w:type="dxa" w:w="4320"/>
          </w:tcPr>
          <w:p>
            <w:r>
              <w:t>STEP 4:</w:t>
              <w:br/>
              <w:t>Concentration Risk</w:t>
            </w:r>
          </w:p>
        </w:tc>
        <w:tc>
          <w:tcPr>
            <w:tcW w:type="dxa" w:w="4320"/>
          </w:tcPr>
          <w:p>
            <w:r>
              <w:t>Question: Current workload percentage in region?</w:t>
              <w:br/>
              <w:br/>
              <w:t>&gt; 60%: HIGH RISK - Avoid region</w:t>
              <w:br/>
              <w:t>40-60%: MODERATE - DR required</w:t>
              <w:br/>
              <w:t>&lt; 40%: LOW RISK - Proceed</w:t>
            </w:r>
          </w:p>
        </w:tc>
      </w:tr>
      <w:tr>
        <w:tc>
          <w:tcPr>
            <w:tcW w:type="dxa" w:w="4320"/>
          </w:tcPr>
          <w:p>
            <w:r>
              <w:t>STEP 5:</w:t>
              <w:br/>
              <w:t>Technical Dependencies</w:t>
            </w:r>
          </w:p>
        </w:tc>
        <w:tc>
          <w:tcPr>
            <w:tcW w:type="dxa" w:w="4320"/>
          </w:tcPr>
          <w:p>
            <w:r>
              <w:t>Evaluation: Assess service availability and integrations</w:t>
              <w:br/>
              <w:br/>
              <w:t>• Required services available in region</w:t>
              <w:br/>
              <w:t>• Integration with existing systems</w:t>
              <w:br/>
              <w:t>• Network connectivity and costs</w:t>
            </w:r>
          </w:p>
        </w:tc>
      </w:tr>
      <w:tr>
        <w:tc>
          <w:tcPr>
            <w:tcW w:type="dxa" w:w="4320"/>
          </w:tcPr>
          <w:p>
            <w:r>
              <w:t>STEP 6:</w:t>
              <w:br/>
              <w:t>Cost Analysis</w:t>
            </w:r>
          </w:p>
        </w:tc>
        <w:tc>
          <w:tcPr>
            <w:tcW w:type="dxa" w:w="4320"/>
          </w:tcPr>
          <w:p>
            <w:r>
              <w:t>Evaluation: Compare total cost of ownership</w:t>
              <w:br/>
              <w:br/>
              <w:t>• Compute pricing variations</w:t>
              <w:br/>
              <w:t>• Data transfer costs</w:t>
              <w:br/>
              <w:t>• Storage pricing</w:t>
              <w:br/>
              <w:t>• Justify if &gt;20% difference</w:t>
            </w:r>
          </w:p>
        </w:tc>
      </w:tr>
    </w:tbl>
    <w:p>
      <w:r>
        <w:br w:type="page"/>
      </w:r>
    </w:p>
    <w:p>
      <w:pPr>
        <w:pStyle w:val="Heading1"/>
      </w:pPr>
      <w:r>
        <w:t>5. Regional Deployment Matrix</w:t>
      </w:r>
    </w:p>
    <w:p>
      <w:pPr>
        <w:pStyle w:val="Heading2"/>
      </w:pPr>
      <w:r>
        <w:t>5.1 AWS Regional Deployment Guidelines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pPr>
              <w:jc w:val="center"/>
            </w:pPr>
            <w:r>
              <w:rPr>
                <w:rFonts w:ascii="Arial" w:hAnsi="Arial"/>
                <w:b/>
                <w:color w:val="FFFFFF"/>
                <w:sz w:val="20"/>
              </w:rPr>
              <w:t>Region</w:t>
            </w:r>
          </w:p>
        </w:tc>
        <w:tc>
          <w:tcPr>
            <w:tcW w:type="dxa" w:w="2160"/>
            <w:shd w:fill="2E75B6"/>
          </w:tcPr>
          <w:p>
            <w:pPr>
              <w:jc w:val="center"/>
            </w:pPr>
            <w:r>
              <w:rPr>
                <w:rFonts w:ascii="Arial" w:hAnsi="Arial"/>
                <w:b/>
                <w:color w:val="FFFFFF"/>
                <w:sz w:val="20"/>
              </w:rPr>
              <w:t>Primary Use Cases</w:t>
            </w:r>
          </w:p>
        </w:tc>
        <w:tc>
          <w:tcPr>
            <w:tcW w:type="dxa" w:w="2160"/>
            <w:shd w:fill="2E75B6"/>
          </w:tcPr>
          <w:p>
            <w:pPr>
              <w:jc w:val="center"/>
            </w:pPr>
            <w:r>
              <w:rPr>
                <w:rFonts w:ascii="Arial" w:hAnsi="Arial"/>
                <w:b/>
                <w:color w:val="FFFFFF"/>
                <w:sz w:val="20"/>
              </w:rPr>
              <w:t>Advantages</w:t>
            </w:r>
          </w:p>
        </w:tc>
        <w:tc>
          <w:tcPr>
            <w:tcW w:type="dxa" w:w="2160"/>
            <w:shd w:fill="2E75B6"/>
          </w:tcPr>
          <w:p>
            <w:pPr>
              <w:jc w:val="center"/>
            </w:pPr>
            <w:r>
              <w:rPr>
                <w:rFonts w:ascii="Arial" w:hAnsi="Arial"/>
                <w:b/>
                <w:color w:val="FFFFFF"/>
                <w:sz w:val="20"/>
              </w:rPr>
              <w:t>Considerations</w:t>
            </w:r>
          </w:p>
        </w:tc>
      </w:tr>
      <w:tr>
        <w:tc>
          <w:tcPr>
            <w:tcW w:type="dxa" w:w="2160"/>
          </w:tcPr>
          <w:p>
            <w:r>
              <w:t>Virginia</w:t>
              <w:br/>
              <w:t>(us-east-1)</w:t>
            </w:r>
          </w:p>
        </w:tc>
        <w:tc>
          <w:tcPr>
            <w:tcW w:type="dxa" w:w="2160"/>
          </w:tcPr>
          <w:p>
            <w:r>
              <w:t>• Global services</w:t>
              <w:br/>
              <w:t>• Americas apps</w:t>
              <w:br/>
              <w:t>• Dev/test</w:t>
            </w:r>
          </w:p>
        </w:tc>
        <w:tc>
          <w:tcPr>
            <w:tcW w:type="dxa" w:w="2160"/>
          </w:tcPr>
          <w:p>
            <w:r>
              <w:t>• Largest region</w:t>
              <w:br/>
              <w:t>• Most services</w:t>
              <w:br/>
              <w:t>• Competitive pricing</w:t>
            </w:r>
          </w:p>
        </w:tc>
        <w:tc>
          <w:tcPr>
            <w:tcW w:type="dxa" w:w="2160"/>
          </w:tcPr>
          <w:p>
            <w:r>
              <w:t>• Not GDPR compliant</w:t>
              <w:br/>
              <w:t>• High EU latency</w:t>
            </w:r>
          </w:p>
        </w:tc>
      </w:tr>
      <w:tr>
        <w:tc>
          <w:tcPr>
            <w:tcW w:type="dxa" w:w="2160"/>
          </w:tcPr>
          <w:p>
            <w:r>
              <w:t>Frankfurt</w:t>
              <w:br/>
              <w:t>(eu-central-1)</w:t>
            </w:r>
          </w:p>
        </w:tc>
        <w:tc>
          <w:tcPr>
            <w:tcW w:type="dxa" w:w="2160"/>
          </w:tcPr>
          <w:p>
            <w:r>
              <w:t>• GDPR workloads</w:t>
              <w:br/>
              <w:t>• Central EU</w:t>
              <w:br/>
              <w:t>• Data processing</w:t>
            </w:r>
          </w:p>
        </w:tc>
        <w:tc>
          <w:tcPr>
            <w:tcW w:type="dxa" w:w="2160"/>
          </w:tcPr>
          <w:p>
            <w:r>
              <w:t>• Central location</w:t>
              <w:br/>
              <w:t>• Excellent connectivity</w:t>
              <w:br/>
              <w:t>• Strong protection</w:t>
            </w:r>
          </w:p>
        </w:tc>
        <w:tc>
          <w:tcPr>
            <w:tcW w:type="dxa" w:w="2160"/>
          </w:tcPr>
          <w:p>
            <w:r>
              <w:t>• Higher pricing</w:t>
              <w:br/>
              <w:t>• Concentration risk</w:t>
            </w:r>
          </w:p>
        </w:tc>
      </w:tr>
      <w:tr>
        <w:tc>
          <w:tcPr>
            <w:tcW w:type="dxa" w:w="2160"/>
          </w:tcPr>
          <w:p>
            <w:r>
              <w:t>Ireland</w:t>
              <w:br/>
              <w:t>(eu-west-1)</w:t>
            </w:r>
          </w:p>
        </w:tc>
        <w:tc>
          <w:tcPr>
            <w:tcW w:type="dxa" w:w="2160"/>
          </w:tcPr>
          <w:p>
            <w:r>
              <w:t>• Western EU</w:t>
              <w:br/>
              <w:t>• UK/Ireland</w:t>
              <w:br/>
              <w:t>• DR for Frankfurt</w:t>
            </w:r>
          </w:p>
        </w:tc>
        <w:tc>
          <w:tcPr>
            <w:tcW w:type="dxa" w:w="2160"/>
          </w:tcPr>
          <w:p>
            <w:r>
              <w:t>• Mature region</w:t>
              <w:br/>
              <w:t>• Good coverage</w:t>
              <w:br/>
              <w:t>• Competitive pricing</w:t>
            </w:r>
          </w:p>
        </w:tc>
        <w:tc>
          <w:tcPr>
            <w:tcW w:type="dxa" w:w="2160"/>
          </w:tcPr>
          <w:p>
            <w:r>
              <w:t>• Brexit considerations</w:t>
              <w:br/>
              <w:t>• Moderate Southern EU latency</w:t>
            </w:r>
          </w:p>
        </w:tc>
      </w:tr>
      <w:tr>
        <w:tc>
          <w:tcPr>
            <w:tcW w:type="dxa" w:w="2160"/>
          </w:tcPr>
          <w:p>
            <w:r>
              <w:t>Spain</w:t>
              <w:br/>
              <w:t>(eu-south-2)</w:t>
            </w:r>
          </w:p>
        </w:tc>
        <w:tc>
          <w:tcPr>
            <w:tcW w:type="dxa" w:w="2160"/>
          </w:tcPr>
          <w:p>
            <w:r>
              <w:t>• Spanish market</w:t>
              <w:br/>
              <w:t>• Southern EU</w:t>
              <w:br/>
              <w:t>• Geographic diversity</w:t>
            </w:r>
          </w:p>
        </w:tc>
        <w:tc>
          <w:tcPr>
            <w:tcW w:type="dxa" w:w="2160"/>
          </w:tcPr>
          <w:p>
            <w:r>
              <w:t>• Low Iberian latency</w:t>
              <w:br/>
              <w:t>• Reduces concentration</w:t>
              <w:br/>
              <w:t>• Local residency</w:t>
            </w:r>
          </w:p>
        </w:tc>
        <w:tc>
          <w:tcPr>
            <w:tcW w:type="dxa" w:w="2160"/>
          </w:tcPr>
          <w:p>
            <w:r>
              <w:t>• Limited services</w:t>
              <w:br/>
              <w:t>• Verify availability</w:t>
            </w:r>
          </w:p>
        </w:tc>
      </w:tr>
    </w:tbl>
    <w:p>
      <w:pPr>
        <w:pStyle w:val="Heading2"/>
      </w:pPr>
      <w:r>
        <w:t>5.2 Azure Regional Deployment Guidelines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pPr>
              <w:jc w:val="center"/>
            </w:pPr>
            <w:r>
              <w:rPr>
                <w:rFonts w:ascii="Arial" w:hAnsi="Arial"/>
                <w:b/>
                <w:color w:val="FFFFFF"/>
                <w:sz w:val="20"/>
              </w:rPr>
              <w:t>Region</w:t>
            </w:r>
          </w:p>
        </w:tc>
        <w:tc>
          <w:tcPr>
            <w:tcW w:type="dxa" w:w="2160"/>
            <w:shd w:fill="2E75B6"/>
          </w:tcPr>
          <w:p>
            <w:pPr>
              <w:jc w:val="center"/>
            </w:pPr>
            <w:r>
              <w:rPr>
                <w:rFonts w:ascii="Arial" w:hAnsi="Arial"/>
                <w:b/>
                <w:color w:val="FFFFFF"/>
                <w:sz w:val="20"/>
              </w:rPr>
              <w:t>Primary Use Cases</w:t>
            </w:r>
          </w:p>
        </w:tc>
        <w:tc>
          <w:tcPr>
            <w:tcW w:type="dxa" w:w="2160"/>
            <w:shd w:fill="2E75B6"/>
          </w:tcPr>
          <w:p>
            <w:pPr>
              <w:jc w:val="center"/>
            </w:pPr>
            <w:r>
              <w:rPr>
                <w:rFonts w:ascii="Arial" w:hAnsi="Arial"/>
                <w:b/>
                <w:color w:val="FFFFFF"/>
                <w:sz w:val="20"/>
              </w:rPr>
              <w:t>Advantages</w:t>
            </w:r>
          </w:p>
        </w:tc>
        <w:tc>
          <w:tcPr>
            <w:tcW w:type="dxa" w:w="2160"/>
            <w:shd w:fill="2E75B6"/>
          </w:tcPr>
          <w:p>
            <w:pPr>
              <w:jc w:val="center"/>
            </w:pPr>
            <w:r>
              <w:rPr>
                <w:rFonts w:ascii="Arial" w:hAnsi="Arial"/>
                <w:b/>
                <w:color w:val="FFFFFF"/>
                <w:sz w:val="20"/>
              </w:rPr>
              <w:t>Considerations</w:t>
            </w:r>
          </w:p>
        </w:tc>
      </w:tr>
      <w:tr>
        <w:tc>
          <w:tcPr>
            <w:tcW w:type="dxa" w:w="2160"/>
          </w:tcPr>
          <w:p>
            <w:r>
              <w:t>Amsterdam</w:t>
              <w:br/>
              <w:t>(West Europe)</w:t>
            </w:r>
          </w:p>
        </w:tc>
        <w:tc>
          <w:tcPr>
            <w:tcW w:type="dxa" w:w="2160"/>
          </w:tcPr>
          <w:p>
            <w:r>
              <w:t>• Primary Azure</w:t>
              <w:br/>
              <w:t>• M365 integration</w:t>
              <w:br/>
              <w:t>• Western EU apps</w:t>
            </w:r>
          </w:p>
        </w:tc>
        <w:tc>
          <w:tcPr>
            <w:tcW w:type="dxa" w:w="2160"/>
          </w:tcPr>
          <w:p>
            <w:r>
              <w:t>• Mature region</w:t>
              <w:br/>
              <w:t>• Full availability</w:t>
              <w:br/>
              <w:t>• Excellent connectivity</w:t>
            </w:r>
          </w:p>
        </w:tc>
        <w:tc>
          <w:tcPr>
            <w:tcW w:type="dxa" w:w="2160"/>
          </w:tcPr>
          <w:p>
            <w:r>
              <w:t>• Monitor concentration</w:t>
              <w:br/>
              <w:t>• Plan DR strategy</w:t>
            </w:r>
          </w:p>
        </w:tc>
      </w:tr>
    </w:tbl>
    <w:p>
      <w:r>
        <w:rPr>
          <w:b/>
        </w:rPr>
        <w:t xml:space="preserve">Note: </w:t>
      </w:r>
      <w:r>
        <w:t>Azure deployments currently standardized on Amsterdam per executive guidance.</w:t>
      </w:r>
    </w:p>
    <w:p>
      <w:r>
        <w:br w:type="page"/>
      </w:r>
    </w:p>
    <w:p>
      <w:pPr>
        <w:pStyle w:val="Heading1"/>
      </w:pPr>
      <w:r>
        <w:t>6. Use Case Scenarios and Recommendations</w:t>
      </w:r>
    </w:p>
    <w:p>
      <w:pPr>
        <w:pStyle w:val="Heading2"/>
      </w:pPr>
      <w:r>
        <w:t>6.1 Scenario 1: Customer-Facing Web Application (EU Market)</w:t>
      </w:r>
    </w:p>
    <w:tbl>
      <w:tblPr>
        <w:tblStyle w:val="LightGrid-Accent1"/>
        <w:tblW w:type="auto" w:w="0"/>
        <w:tblLook w:firstColumn="1" w:firstRow="1" w:lastColumn="0" w:lastRow="0" w:noHBand="0" w:noVBand="1" w:val="04A0"/>
      </w:tblPr>
      <w:tblGrid>
        <w:gridCol w:w="4320"/>
        <w:gridCol w:w="4320"/>
      </w:tblGrid>
      <w:tr>
        <w:tc>
          <w:tcPr>
            <w:tcW w:type="dxa" w:w="4320"/>
          </w:tcPr>
          <w:p>
            <w:r>
              <w:t>Characteristics</w:t>
            </w:r>
          </w:p>
        </w:tc>
        <w:tc>
          <w:tcPr>
            <w:tcW w:type="dxa" w:w="4320"/>
          </w:tcPr>
          <w:p>
            <w:r>
              <w:t>• EU citizen PII/payment data</w:t>
              <w:br/>
              <w:t>• &lt;50ms latency</w:t>
              <w:br/>
              <w:t>• TIER 1 critical</w:t>
              <w:br/>
              <w:t>• 24/7 availability</w:t>
            </w:r>
          </w:p>
        </w:tc>
      </w:tr>
      <w:tr>
        <w:tc>
          <w:tcPr>
            <w:tcW w:type="dxa" w:w="4320"/>
          </w:tcPr>
          <w:p>
            <w:r>
              <w:t>Deployment</w:t>
            </w:r>
          </w:p>
        </w:tc>
        <w:tc>
          <w:tcPr>
            <w:tcW w:type="dxa" w:w="4320"/>
          </w:tcPr>
          <w:p>
            <w:r>
              <w:t>Primary: AWS Frankfurt/Ireland</w:t>
              <w:br/>
              <w:t>DR: AWS Spain</w:t>
              <w:br/>
              <w:t>Architecture: Active-active</w:t>
            </w:r>
          </w:p>
        </w:tc>
      </w:tr>
      <w:tr>
        <w:tc>
          <w:tcPr>
            <w:tcW w:type="dxa" w:w="4320"/>
          </w:tcPr>
          <w:p>
            <w:r>
              <w:t>Rationale</w:t>
            </w:r>
          </w:p>
        </w:tc>
        <w:tc>
          <w:tcPr>
            <w:tcW w:type="dxa" w:w="4320"/>
          </w:tcPr>
          <w:p>
            <w:r>
              <w:t>GDPR compliance requires EU residency. Multi-region ensures RTO/RPO.</w:t>
            </w:r>
          </w:p>
        </w:tc>
      </w:tr>
    </w:tbl>
    <w:p>
      <w:pPr>
        <w:pStyle w:val="Heading2"/>
      </w:pPr>
      <w:r>
        <w:t>6.2 Scenario 2: Internal Data Processing Pipeline</w:t>
      </w:r>
    </w:p>
    <w:tbl>
      <w:tblPr>
        <w:tblStyle w:val="LightGrid-Accent1"/>
        <w:tblW w:type="auto" w:w="0"/>
        <w:tblLook w:firstColumn="1" w:firstRow="1" w:lastColumn="0" w:lastRow="0" w:noHBand="0" w:noVBand="1" w:val="04A0"/>
      </w:tblPr>
      <w:tblGrid>
        <w:gridCol w:w="4320"/>
        <w:gridCol w:w="4320"/>
      </w:tblGrid>
      <w:tr>
        <w:tc>
          <w:tcPr>
            <w:tcW w:type="dxa" w:w="4320"/>
          </w:tcPr>
          <w:p>
            <w:r>
              <w:t>Characteristics</w:t>
            </w:r>
          </w:p>
        </w:tc>
        <w:tc>
          <w:tcPr>
            <w:tcW w:type="dxa" w:w="4320"/>
          </w:tcPr>
          <w:p>
            <w:r>
              <w:t>• Batch processing</w:t>
              <w:br/>
              <w:t>• No real-time latency</w:t>
              <w:br/>
              <w:t>• TIER 2</w:t>
              <w:br/>
              <w:t>• Compute-intensive</w:t>
            </w:r>
          </w:p>
        </w:tc>
      </w:tr>
      <w:tr>
        <w:tc>
          <w:tcPr>
            <w:tcW w:type="dxa" w:w="4320"/>
          </w:tcPr>
          <w:p>
            <w:r>
              <w:t>Deployment</w:t>
            </w:r>
          </w:p>
        </w:tc>
        <w:tc>
          <w:tcPr>
            <w:tcW w:type="dxa" w:w="4320"/>
          </w:tcPr>
          <w:p>
            <w:r>
              <w:t>Primary: AWS Virginia</w:t>
              <w:br/>
              <w:t>Backup: Cross-region</w:t>
              <w:br/>
              <w:t>Architecture: Single region + backup</w:t>
            </w:r>
          </w:p>
        </w:tc>
      </w:tr>
      <w:tr>
        <w:tc>
          <w:tcPr>
            <w:tcW w:type="dxa" w:w="4320"/>
          </w:tcPr>
          <w:p>
            <w:r>
              <w:t>Rationale</w:t>
            </w:r>
          </w:p>
        </w:tc>
        <w:tc>
          <w:tcPr>
            <w:tcW w:type="dxa" w:w="4320"/>
          </w:tcPr>
          <w:p>
            <w:r>
              <w:t>Anonymized data allows global deployment. Virginia offers best pricing.</w:t>
            </w:r>
          </w:p>
        </w:tc>
      </w:tr>
    </w:tbl>
    <w:p>
      <w:pPr>
        <w:pStyle w:val="Heading2"/>
      </w:pPr>
      <w:r>
        <w:t>6.3 Scenario 3: Microsoft 365 Integrated Application</w:t>
      </w:r>
    </w:p>
    <w:tbl>
      <w:tblPr>
        <w:tblStyle w:val="LightGrid-Accent1"/>
        <w:tblW w:type="auto" w:w="0"/>
        <w:tblLook w:firstColumn="1" w:firstRow="1" w:lastColumn="0" w:lastRow="0" w:noHBand="0" w:noVBand="1" w:val="04A0"/>
      </w:tblPr>
      <w:tblGrid>
        <w:gridCol w:w="4320"/>
        <w:gridCol w:w="4320"/>
      </w:tblGrid>
      <w:tr>
        <w:tc>
          <w:tcPr>
            <w:tcW w:type="dxa" w:w="4320"/>
          </w:tcPr>
          <w:p>
            <w:r>
              <w:t>Characteristics</w:t>
            </w:r>
          </w:p>
        </w:tc>
        <w:tc>
          <w:tcPr>
            <w:tcW w:type="dxa" w:w="4320"/>
          </w:tcPr>
          <w:p>
            <w:r>
              <w:t>• SharePoint/Teams integration</w:t>
              <w:br/>
              <w:t>• EU users</w:t>
              <w:br/>
              <w:t>• TIER 2</w:t>
              <w:br/>
              <w:t>• Azure AD auth</w:t>
            </w:r>
          </w:p>
        </w:tc>
      </w:tr>
      <w:tr>
        <w:tc>
          <w:tcPr>
            <w:tcW w:type="dxa" w:w="4320"/>
          </w:tcPr>
          <w:p>
            <w:r>
              <w:t>Deployment</w:t>
            </w:r>
          </w:p>
        </w:tc>
        <w:tc>
          <w:tcPr>
            <w:tcW w:type="dxa" w:w="4320"/>
          </w:tcPr>
          <w:p>
            <w:r>
              <w:t>Primary: Azure Amsterdam</w:t>
              <w:br/>
              <w:t>DR: Azure Site Recovery</w:t>
              <w:br/>
              <w:t>Architecture: Single region + DR</w:t>
            </w:r>
          </w:p>
        </w:tc>
      </w:tr>
      <w:tr>
        <w:tc>
          <w:tcPr>
            <w:tcW w:type="dxa" w:w="4320"/>
          </w:tcPr>
          <w:p>
            <w:r>
              <w:t>Rationale</w:t>
            </w:r>
          </w:p>
        </w:tc>
        <w:tc>
          <w:tcPr>
            <w:tcW w:type="dxa" w:w="4320"/>
          </w:tcPr>
          <w:p>
            <w:r>
              <w:t>M365 integration requires Azure. Amsterdam is designated hub.</w:t>
            </w:r>
          </w:p>
        </w:tc>
      </w:tr>
    </w:tbl>
    <w:p>
      <w:r>
        <w:br w:type="page"/>
      </w:r>
    </w:p>
    <w:p>
      <w:pPr>
        <w:pStyle w:val="Heading1"/>
      </w:pPr>
      <w:r>
        <w:t>7. Risk Assessment and Mitigation</w:t>
      </w:r>
    </w:p>
    <w:p>
      <w:pPr>
        <w:pStyle w:val="Heading2"/>
      </w:pPr>
      <w:r>
        <w:t>7.1 Workload Concentration Risk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pPr>
              <w:jc w:val="center"/>
            </w:pPr>
            <w:r>
              <w:rPr>
                <w:rFonts w:ascii="Arial" w:hAnsi="Arial"/>
                <w:b/>
                <w:color w:val="FFFFFF"/>
                <w:sz w:val="20"/>
              </w:rPr>
              <w:t>Risk Level</w:t>
            </w:r>
          </w:p>
        </w:tc>
        <w:tc>
          <w:tcPr>
            <w:tcW w:type="dxa" w:w="2160"/>
            <w:shd w:fill="2E75B6"/>
          </w:tcPr>
          <w:p>
            <w:pPr>
              <w:jc w:val="center"/>
            </w:pPr>
            <w:r>
              <w:rPr>
                <w:rFonts w:ascii="Arial" w:hAnsi="Arial"/>
                <w:b/>
                <w:color w:val="FFFFFF"/>
                <w:sz w:val="20"/>
              </w:rPr>
              <w:t>Concentration</w:t>
            </w:r>
          </w:p>
        </w:tc>
        <w:tc>
          <w:tcPr>
            <w:tcW w:type="dxa" w:w="2160"/>
            <w:shd w:fill="2E75B6"/>
          </w:tcPr>
          <w:p>
            <w:pPr>
              <w:jc w:val="center"/>
            </w:pPr>
            <w:r>
              <w:rPr>
                <w:rFonts w:ascii="Arial" w:hAnsi="Arial"/>
                <w:b/>
                <w:color w:val="FFFFFF"/>
                <w:sz w:val="20"/>
              </w:rPr>
              <w:t>Impact</w:t>
            </w:r>
          </w:p>
        </w:tc>
        <w:tc>
          <w:tcPr>
            <w:tcW w:type="dxa" w:w="2160"/>
            <w:shd w:fill="2E75B6"/>
          </w:tcPr>
          <w:p>
            <w:pPr>
              <w:jc w:val="center"/>
            </w:pPr>
            <w:r>
              <w:rPr>
                <w:rFonts w:ascii="Arial" w:hAnsi="Arial"/>
                <w:b/>
                <w:color w:val="FFFFFF"/>
                <w:sz w:val="20"/>
              </w:rPr>
              <w:t>Required Actions</w:t>
            </w:r>
          </w:p>
        </w:tc>
      </w:tr>
      <w:tr>
        <w:tc>
          <w:tcPr>
            <w:tcW w:type="dxa" w:w="2160"/>
          </w:tcPr>
          <w:p>
            <w:r>
              <w:t>CRITICAL</w:t>
            </w:r>
          </w:p>
        </w:tc>
        <w:tc>
          <w:tcPr>
            <w:tcW w:type="dxa" w:w="2160"/>
          </w:tcPr>
          <w:p>
            <w:r>
              <w:t>&gt; 80%</w:t>
            </w:r>
          </w:p>
        </w:tc>
        <w:tc>
          <w:tcPr>
            <w:tcW w:type="dxa" w:w="2160"/>
          </w:tcPr>
          <w:p>
            <w:r>
              <w:t>Severe disruption</w:t>
            </w:r>
          </w:p>
        </w:tc>
        <w:tc>
          <w:tcPr>
            <w:tcW w:type="dxa" w:w="2160"/>
          </w:tcPr>
          <w:p>
            <w:r>
              <w:t>• Immediate rebalancing</w:t>
              <w:br/>
              <w:t>• Prevent new deployments</w:t>
              <w:br/>
              <w:t>• Executive approval</w:t>
            </w:r>
          </w:p>
        </w:tc>
      </w:tr>
      <w:tr>
        <w:tc>
          <w:tcPr>
            <w:tcW w:type="dxa" w:w="2160"/>
          </w:tcPr>
          <w:p>
            <w:r>
              <w:t>HIGH</w:t>
            </w:r>
          </w:p>
        </w:tc>
        <w:tc>
          <w:tcPr>
            <w:tcW w:type="dxa" w:w="2160"/>
          </w:tcPr>
          <w:p>
            <w:r>
              <w:t>60-80%</w:t>
            </w:r>
          </w:p>
        </w:tc>
        <w:tc>
          <w:tcPr>
            <w:tcW w:type="dxa" w:w="2160"/>
          </w:tcPr>
          <w:p>
            <w:r>
              <w:t>Significant risk</w:t>
            </w:r>
          </w:p>
        </w:tc>
        <w:tc>
          <w:tcPr>
            <w:tcW w:type="dxa" w:w="2160"/>
          </w:tcPr>
          <w:p>
            <w:r>
              <w:t>• Develop plan</w:t>
              <w:br/>
              <w:t>• Prioritize elsewhere</w:t>
              <w:br/>
              <w:t>• Enhanced testing</w:t>
            </w:r>
          </w:p>
        </w:tc>
      </w:tr>
      <w:tr>
        <w:tc>
          <w:tcPr>
            <w:tcW w:type="dxa" w:w="2160"/>
          </w:tcPr>
          <w:p>
            <w:r>
              <w:t>MODERATE</w:t>
            </w:r>
          </w:p>
        </w:tc>
        <w:tc>
          <w:tcPr>
            <w:tcW w:type="dxa" w:w="2160"/>
          </w:tcPr>
          <w:p>
            <w:r>
              <w:t>40-60%</w:t>
            </w:r>
          </w:p>
        </w:tc>
        <w:tc>
          <w:tcPr>
            <w:tcW w:type="dxa" w:w="2160"/>
          </w:tcPr>
          <w:p>
            <w:r>
              <w:t>Acceptable with monitoring</w:t>
            </w:r>
          </w:p>
        </w:tc>
        <w:tc>
          <w:tcPr>
            <w:tcW w:type="dxa" w:w="2160"/>
          </w:tcPr>
          <w:p>
            <w:r>
              <w:t>• Monitor levels</w:t>
              <w:br/>
              <w:t>• Consider diversification</w:t>
              <w:br/>
              <w:t>• Regular DR</w:t>
            </w:r>
          </w:p>
        </w:tc>
      </w:tr>
      <w:tr>
        <w:tc>
          <w:tcPr>
            <w:tcW w:type="dxa" w:w="2160"/>
          </w:tcPr>
          <w:p>
            <w:r>
              <w:t>LOW</w:t>
            </w:r>
          </w:p>
        </w:tc>
        <w:tc>
          <w:tcPr>
            <w:tcW w:type="dxa" w:w="2160"/>
          </w:tcPr>
          <w:p>
            <w:r>
              <w:t>&lt; 40%</w:t>
            </w:r>
          </w:p>
        </w:tc>
        <w:tc>
          <w:tcPr>
            <w:tcW w:type="dxa" w:w="2160"/>
          </w:tcPr>
          <w:p>
            <w:r>
              <w:t>Well-distributed</w:t>
            </w:r>
          </w:p>
        </w:tc>
        <w:tc>
          <w:tcPr>
            <w:tcW w:type="dxa" w:w="2160"/>
          </w:tcPr>
          <w:p>
            <w:r>
              <w:t>• Maintain distribution</w:t>
              <w:br/>
              <w:t>• Standard monitoring</w:t>
              <w:br/>
              <w:t>• Annual testing</w:t>
            </w:r>
          </w:p>
        </w:tc>
      </w:tr>
    </w:tbl>
    <w:p>
      <w:r>
        <w:br w:type="page"/>
      </w:r>
    </w:p>
    <w:p>
      <w:pPr>
        <w:pStyle w:val="Heading1"/>
      </w:pPr>
      <w:r>
        <w:t>8. Implementation Process</w:t>
      </w:r>
    </w:p>
    <w:p>
      <w:pPr>
        <w:pStyle w:val="Heading2"/>
      </w:pPr>
      <w:r>
        <w:t>8.1 Pre-Deployment Risk Assessment</w:t>
      </w:r>
    </w:p>
    <w:p>
      <w:r>
        <w:t>Before deploying any workload, complete the following:</w:t>
      </w:r>
    </w:p>
    <w:p>
      <w:pPr>
        <w:pStyle w:val="ListNumber"/>
      </w:pPr>
      <w:r>
        <w:t>Complete Decision Tree Evaluation - Work through all six decision points</w:t>
      </w:r>
    </w:p>
    <w:p>
      <w:pPr>
        <w:pStyle w:val="ListNumber"/>
      </w:pPr>
      <w:r>
        <w:t>Concentration Analysis - Calculate current workload distribution</w:t>
      </w:r>
    </w:p>
    <w:p>
      <w:pPr>
        <w:pStyle w:val="ListNumber"/>
      </w:pPr>
      <w:r>
        <w:t>Risk Documentation - Document risks and mitigation strategies</w:t>
      </w:r>
    </w:p>
    <w:p>
      <w:pPr>
        <w:pStyle w:val="ListNumber"/>
      </w:pPr>
      <w:r>
        <w:t>Technical Validation - Confirm required services available</w:t>
      </w:r>
    </w:p>
    <w:p>
      <w:pPr>
        <w:pStyle w:val="ListNumber"/>
      </w:pPr>
      <w:r>
        <w:t>Cost Analysis - Prepare TCO comparison if multiple regions viable</w:t>
      </w:r>
    </w:p>
    <w:p>
      <w:pPr>
        <w:pStyle w:val="ListNumber"/>
      </w:pPr>
      <w:r>
        <w:t>Approval Process - Submit assessment per governance framework</w:t>
      </w:r>
    </w:p>
    <w:p>
      <w:pPr>
        <w:pStyle w:val="Heading2"/>
      </w:pPr>
      <w:r>
        <w:t>8.2 Governance and Approval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Workload Tier</w:t>
            </w:r>
          </w:p>
        </w:tc>
        <w:tc>
          <w:tcPr>
            <w:tcW w:type="dxa" w:w="2880"/>
            <w:shd w:fill="2E75B6"/>
          </w:tcPr>
          <w:p>
            <w:pPr>
              <w:jc w:val="center"/>
            </w:pPr>
            <w:r>
              <w:rPr>
                <w:rFonts w:ascii="Arial" w:hAnsi="Arial"/>
                <w:b/>
                <w:color w:val="FFFFFF"/>
                <w:sz w:val="20"/>
              </w:rPr>
              <w:t>Approval Authority</w:t>
            </w:r>
          </w:p>
        </w:tc>
        <w:tc>
          <w:tcPr>
            <w:tcW w:type="dxa" w:w="2880"/>
            <w:shd w:fill="2E75B6"/>
          </w:tcPr>
          <w:p>
            <w:pPr>
              <w:jc w:val="center"/>
            </w:pPr>
            <w:r>
              <w:rPr>
                <w:rFonts w:ascii="Arial" w:hAnsi="Arial"/>
                <w:b/>
                <w:color w:val="FFFFFF"/>
                <w:sz w:val="20"/>
              </w:rPr>
              <w:t>Requirements</w:t>
            </w:r>
          </w:p>
        </w:tc>
      </w:tr>
      <w:tr>
        <w:tc>
          <w:tcPr>
            <w:tcW w:type="dxa" w:w="2880"/>
          </w:tcPr>
          <w:p>
            <w:r>
              <w:t>TIER 1 (Critical)</w:t>
            </w:r>
          </w:p>
        </w:tc>
        <w:tc>
          <w:tcPr>
            <w:tcW w:type="dxa" w:w="2880"/>
          </w:tcPr>
          <w:p>
            <w:r>
              <w:t>CTO / VP Infrastructure</w:t>
            </w:r>
          </w:p>
        </w:tc>
        <w:tc>
          <w:tcPr>
            <w:tcW w:type="dxa" w:w="2880"/>
          </w:tcPr>
          <w:p>
            <w:r>
              <w:t>• Full risk assessment</w:t>
              <w:br/>
              <w:t>• DR plan</w:t>
              <w:br/>
              <w:t>• ARB approval</w:t>
              <w:br/>
              <w:t>• Quarterly DR testing</w:t>
            </w:r>
          </w:p>
        </w:tc>
      </w:tr>
      <w:tr>
        <w:tc>
          <w:tcPr>
            <w:tcW w:type="dxa" w:w="2880"/>
          </w:tcPr>
          <w:p>
            <w:r>
              <w:t>TIER 2 (High)</w:t>
            </w:r>
          </w:p>
        </w:tc>
        <w:tc>
          <w:tcPr>
            <w:tcW w:type="dxa" w:w="2880"/>
          </w:tcPr>
          <w:p>
            <w:r>
              <w:t>Director Cloud Operations</w:t>
            </w:r>
          </w:p>
        </w:tc>
        <w:tc>
          <w:tcPr>
            <w:tcW w:type="dxa" w:w="2880"/>
          </w:tcPr>
          <w:p>
            <w:r>
              <w:t>• Decision tree assessment</w:t>
              <w:br/>
              <w:t>• Backup plan</w:t>
              <w:br/>
              <w:t>• Risk analysis</w:t>
              <w:br/>
              <w:t>• Semi-annual DR</w:t>
            </w:r>
          </w:p>
        </w:tc>
      </w:tr>
      <w:tr>
        <w:tc>
          <w:tcPr>
            <w:tcW w:type="dxa" w:w="2880"/>
          </w:tcPr>
          <w:p>
            <w:r>
              <w:t>TIER 3 (Standard)</w:t>
            </w:r>
          </w:p>
        </w:tc>
        <w:tc>
          <w:tcPr>
            <w:tcW w:type="dxa" w:w="2880"/>
          </w:tcPr>
          <w:p>
            <w:r>
              <w:t>Senior Cloud Architect</w:t>
            </w:r>
          </w:p>
        </w:tc>
        <w:tc>
          <w:tcPr>
            <w:tcW w:type="dxa" w:w="2880"/>
          </w:tcPr>
          <w:p>
            <w:r>
              <w:t>• Simplified assessment</w:t>
              <w:br/>
              <w:t>• Basic backup</w:t>
              <w:br/>
              <w:t>• Cost justification</w:t>
              <w:br/>
              <w:t>• Annual testing</w:t>
            </w:r>
          </w:p>
        </w:tc>
      </w:tr>
    </w:tbl>
    <w:p>
      <w:r>
        <w:br w:type="page"/>
      </w:r>
    </w:p>
    <w:p>
      <w:pPr>
        <w:pStyle w:val="Heading1"/>
      </w:pPr>
      <w:r>
        <w:t>9. Monitoring and Continuous Improvement</w:t>
      </w:r>
    </w:p>
    <w:p>
      <w:pPr>
        <w:pStyle w:val="Heading2"/>
      </w:pPr>
      <w:r>
        <w:t>9.1 Key Performance Indicators</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KPI</w:t>
            </w:r>
          </w:p>
        </w:tc>
        <w:tc>
          <w:tcPr>
            <w:tcW w:type="dxa" w:w="2880"/>
            <w:shd w:fill="2E75B6"/>
          </w:tcPr>
          <w:p>
            <w:pPr>
              <w:jc w:val="center"/>
            </w:pPr>
            <w:r>
              <w:rPr>
                <w:rFonts w:ascii="Arial" w:hAnsi="Arial"/>
                <w:b/>
                <w:color w:val="FFFFFF"/>
                <w:sz w:val="20"/>
              </w:rPr>
              <w:t>Target</w:t>
            </w:r>
          </w:p>
        </w:tc>
        <w:tc>
          <w:tcPr>
            <w:tcW w:type="dxa" w:w="2880"/>
            <w:shd w:fill="2E75B6"/>
          </w:tcPr>
          <w:p>
            <w:pPr>
              <w:jc w:val="center"/>
            </w:pPr>
            <w:r>
              <w:rPr>
                <w:rFonts w:ascii="Arial" w:hAnsi="Arial"/>
                <w:b/>
                <w:color w:val="FFFFFF"/>
                <w:sz w:val="20"/>
              </w:rPr>
              <w:t>Frequency</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Max single-region concentration</w:t>
            </w:r>
          </w:p>
        </w:tc>
        <w:tc>
          <w:tcPr>
            <w:tcW w:type="dxa" w:w="2880"/>
          </w:tcPr>
          <w:p>
            <w:r>
              <w:t>&lt; 60%</w:t>
            </w:r>
          </w:p>
        </w:tc>
        <w:tc>
          <w:tcPr>
            <w:tcW w:type="dxa" w:w="2880"/>
          </w:tcPr>
          <w:p>
            <w:r>
              <w:t>Monthly</w:t>
            </w:r>
          </w:p>
        </w:tc>
      </w:tr>
      <w:tr>
        <w:tc>
          <w:tcPr>
            <w:tcW w:type="dxa" w:w="2880"/>
          </w:tcPr>
          <w:p>
            <w:r>
              <w:t>Tier 1 with multi-region</w:t>
            </w:r>
          </w:p>
        </w:tc>
        <w:tc>
          <w:tcPr>
            <w:tcW w:type="dxa" w:w="2880"/>
          </w:tcPr>
          <w:p>
            <w:r>
              <w:t>100%</w:t>
            </w:r>
          </w:p>
        </w:tc>
        <w:tc>
          <w:tcPr>
            <w:tcW w:type="dxa" w:w="2880"/>
          </w:tcPr>
          <w:p>
            <w:r>
              <w:t>Monthly</w:t>
            </w:r>
          </w:p>
        </w:tc>
      </w:tr>
      <w:tr>
        <w:tc>
          <w:tcPr>
            <w:tcW w:type="dxa" w:w="2880"/>
          </w:tcPr>
          <w:p>
            <w:r>
              <w:t>DR test completion rate</w:t>
            </w:r>
          </w:p>
        </w:tc>
        <w:tc>
          <w:tcPr>
            <w:tcW w:type="dxa" w:w="2880"/>
          </w:tcPr>
          <w:p>
            <w:r>
              <w:t>&gt; 95%</w:t>
            </w:r>
          </w:p>
        </w:tc>
        <w:tc>
          <w:tcPr>
            <w:tcW w:type="dxa" w:w="2880"/>
          </w:tcPr>
          <w:p>
            <w:r>
              <w:t>Quarterly</w:t>
            </w:r>
          </w:p>
        </w:tc>
      </w:tr>
      <w:tr>
        <w:tc>
          <w:tcPr>
            <w:tcW w:type="dxa" w:w="2880"/>
          </w:tcPr>
          <w:p>
            <w:r>
              <w:t>Documented risk assessments</w:t>
            </w:r>
          </w:p>
        </w:tc>
        <w:tc>
          <w:tcPr>
            <w:tcW w:type="dxa" w:w="2880"/>
          </w:tcPr>
          <w:p>
            <w:r>
              <w:t>100%</w:t>
            </w:r>
          </w:p>
        </w:tc>
        <w:tc>
          <w:tcPr>
            <w:tcW w:type="dxa" w:w="2880"/>
          </w:tcPr>
          <w:p>
            <w:r>
              <w:t>Ongoing</w:t>
            </w:r>
          </w:p>
        </w:tc>
      </w:tr>
      <w:tr>
        <w:tc>
          <w:tcPr>
            <w:tcW w:type="dxa" w:w="2880"/>
          </w:tcPr>
          <w:p>
            <w:r>
              <w:t>Average RTO for Tier 1</w:t>
            </w:r>
          </w:p>
        </w:tc>
        <w:tc>
          <w:tcPr>
            <w:tcW w:type="dxa" w:w="2880"/>
          </w:tcPr>
          <w:p>
            <w:r>
              <w:t>&lt; 4 hours</w:t>
            </w:r>
          </w:p>
        </w:tc>
        <w:tc>
          <w:tcPr>
            <w:tcW w:type="dxa" w:w="2880"/>
          </w:tcPr>
          <w:p>
            <w:r>
              <w:t>Per incident</w:t>
            </w:r>
          </w:p>
        </w:tc>
      </w:tr>
      <w:tr>
        <w:tc>
          <w:tcPr>
            <w:tcW w:type="dxa" w:w="2880"/>
          </w:tcPr>
          <w:p>
            <w:r>
              <w:t>Compliance violations</w:t>
            </w:r>
          </w:p>
        </w:tc>
        <w:tc>
          <w:tcPr>
            <w:tcW w:type="dxa" w:w="2880"/>
          </w:tcPr>
          <w:p>
            <w:r>
              <w:t>0</w:t>
            </w:r>
          </w:p>
        </w:tc>
        <w:tc>
          <w:tcPr>
            <w:tcW w:type="dxa" w:w="2880"/>
          </w:tcPr>
          <w:p>
            <w:r>
              <w:t>Ongoing</w:t>
            </w:r>
          </w:p>
        </w:tc>
      </w:tr>
    </w:tbl>
    <w:p>
      <w:r>
        <w:br w:type="page"/>
      </w:r>
    </w:p>
    <w:p>
      <w:pPr>
        <w:pStyle w:val="Heading1"/>
      </w:pPr>
      <w:r>
        <w:t>10. Conclusion and Next Steps</w:t>
      </w:r>
    </w:p>
    <w:p>
      <w:r>
        <w:t>This Cloud Workload Placement Decision Tree addresses the Internal Audit recommendation by establishing a formal, documented risk analysis process for evaluating workload concentration before deploying, migrating, or moving technological services to cloud regions.</w:t>
      </w:r>
    </w:p>
    <w:p>
      <w:pPr>
        <w:pStyle w:val="Heading2"/>
      </w:pPr>
      <w:r>
        <w:t>10.1 Immediate Action Items</w:t>
      </w:r>
    </w:p>
    <w:p>
      <w:pPr>
        <w:pStyle w:val="ListNumber"/>
      </w:pPr>
      <w:r>
        <w:t>Establish Cloud Deployment Registry (Target: 30 days)</w:t>
      </w:r>
    </w:p>
    <w:p>
      <w:pPr>
        <w:pStyle w:val="ListNumber"/>
      </w:pPr>
      <w:r>
        <w:t>Current State Assessment of workload distribution (Target: 45 days)</w:t>
      </w:r>
    </w:p>
    <w:p>
      <w:pPr>
        <w:pStyle w:val="ListNumber"/>
      </w:pPr>
      <w:r>
        <w:t>Training and Communication workshops (Target: 60 days)</w:t>
      </w:r>
    </w:p>
    <w:p>
      <w:pPr>
        <w:pStyle w:val="ListNumber"/>
      </w:pPr>
      <w:r>
        <w:t>Governance Integration into change management (Target: 60 days)</w:t>
      </w:r>
    </w:p>
    <w:p>
      <w:pPr>
        <w:pStyle w:val="ListNumber"/>
      </w:pPr>
      <w:r>
        <w:t>Deploy Monitoring Dashboard and KPI tracking (Target: 90 days)</w:t>
      </w:r>
    </w:p>
    <w:p>
      <w:pPr>
        <w:pStyle w:val="Heading2"/>
      </w:pPr>
      <w:r>
        <w:t>10.2 Long-Term Roadmap</w:t>
      </w:r>
    </w:p>
    <w:p>
      <w:pPr>
        <w:pStyle w:val="ListBullet"/>
      </w:pPr>
      <w:r>
        <w:t>Q1 2026: Complete assessment of existing workloads</w:t>
      </w:r>
    </w:p>
    <w:p>
      <w:pPr>
        <w:pStyle w:val="ListBullet"/>
      </w:pPr>
      <w:r>
        <w:t>Q2 2026: Implement automated concentration monitoring</w:t>
      </w:r>
    </w:p>
    <w:p>
      <w:pPr>
        <w:pStyle w:val="ListBullet"/>
      </w:pPr>
      <w:r>
        <w:t>Q3 2026: Comprehensive DR testing across critical workloads</w:t>
      </w:r>
    </w:p>
    <w:p>
      <w:pPr>
        <w:pStyle w:val="ListBullet"/>
      </w:pPr>
      <w:r>
        <w:t>Q4 2026: Evaluate additional Azure regions</w:t>
      </w:r>
    </w:p>
    <w:p>
      <w:pPr>
        <w:pStyle w:val="ListBullet"/>
      </w:pPr>
      <w:r>
        <w:t>Ongoing: Quarterly decision tree reviews and updates</w:t>
      </w:r>
    </w:p>
    <w:p>
      <w:r>
        <w:br w:type="page"/>
      </w:r>
    </w:p>
    <w:p>
      <w:pPr>
        <w:pStyle w:val="Heading1"/>
      </w:pPr>
      <w:r>
        <w:t>Appendix A: Decision Tree Quick Reference</w:t>
      </w:r>
    </w:p>
    <w:tbl>
      <w:tblPr>
        <w:tblStyle w:val="LightGrid-Accent1"/>
        <w:tblW w:type="auto" w:w="0"/>
        <w:tblLook w:firstColumn="1" w:firstRow="1" w:lastColumn="0" w:lastRow="0" w:noHBand="0" w:noVBand="1" w:val="04A0"/>
      </w:tblPr>
      <w:tblGrid>
        <w:gridCol w:w="4320"/>
        <w:gridCol w:w="4320"/>
      </w:tblGrid>
      <w:tr>
        <w:tc>
          <w:tcPr>
            <w:tcW w:type="dxa" w:w="4320"/>
            <w:shd w:fill="2E75B6"/>
          </w:tcPr>
          <w:p>
            <w:pPr>
              <w:jc w:val="center"/>
            </w:pPr>
            <w:r>
              <w:rPr>
                <w:rFonts w:ascii="Arial" w:hAnsi="Arial"/>
                <w:b/>
                <w:color w:val="FFFFFF"/>
                <w:sz w:val="20"/>
              </w:rPr>
              <w:t>Step</w:t>
            </w:r>
          </w:p>
        </w:tc>
        <w:tc>
          <w:tcPr>
            <w:tcW w:type="dxa" w:w="4320"/>
            <w:shd w:fill="2E75B6"/>
          </w:tcPr>
          <w:p>
            <w:pPr>
              <w:jc w:val="center"/>
            </w:pPr>
            <w:r>
              <w:rPr>
                <w:rFonts w:ascii="Arial" w:hAnsi="Arial"/>
                <w:b/>
                <w:color w:val="FFFFFF"/>
                <w:sz w:val="20"/>
              </w:rPr>
              <w:t>Quick Decision Criteria</w:t>
            </w:r>
          </w:p>
        </w:tc>
      </w:tr>
      <w:tr>
        <w:tc>
          <w:tcPr>
            <w:tcW w:type="dxa" w:w="4320"/>
          </w:tcPr>
          <w:p>
            <w:r>
              <w:t>1</w:t>
            </w:r>
          </w:p>
        </w:tc>
        <w:tc>
          <w:tcPr>
            <w:tcW w:type="dxa" w:w="4320"/>
          </w:tcPr>
          <w:p>
            <w:r>
              <w:t>EU data? → YES: EU only | NO: All regions</w:t>
            </w:r>
          </w:p>
        </w:tc>
      </w:tr>
      <w:tr>
        <w:tc>
          <w:tcPr>
            <w:tcW w:type="dxa" w:w="4320"/>
          </w:tcPr>
          <w:p>
            <w:r>
              <w:t>2</w:t>
            </w:r>
          </w:p>
        </w:tc>
        <w:tc>
          <w:tcPr>
            <w:tcW w:type="dxa" w:w="4320"/>
          </w:tcPr>
          <w:p>
            <w:r>
              <w:t>TIER 1: Multi-region | TIER 2: Primary+DR | TIER 3: Single</w:t>
            </w:r>
          </w:p>
        </w:tc>
      </w:tr>
      <w:tr>
        <w:tc>
          <w:tcPr>
            <w:tcW w:type="dxa" w:w="4320"/>
          </w:tcPr>
          <w:p>
            <w:r>
              <w:t>3</w:t>
            </w:r>
          </w:p>
        </w:tc>
        <w:tc>
          <w:tcPr>
            <w:tcW w:type="dxa" w:w="4320"/>
          </w:tcPr>
          <w:p>
            <w:r>
              <w:t>&lt;50ms: Closest | 50-100ms: Balance | &gt;100ms: Cost priority</w:t>
            </w:r>
          </w:p>
        </w:tc>
      </w:tr>
      <w:tr>
        <w:tc>
          <w:tcPr>
            <w:tcW w:type="dxa" w:w="4320"/>
          </w:tcPr>
          <w:p>
            <w:r>
              <w:t>4</w:t>
            </w:r>
          </w:p>
        </w:tc>
        <w:tc>
          <w:tcPr>
            <w:tcW w:type="dxa" w:w="4320"/>
          </w:tcPr>
          <w:p>
            <w:r>
              <w:t>&gt;60%: HIGH RISK | 40-60%: MODERATE | &lt;40%: LOW</w:t>
            </w:r>
          </w:p>
        </w:tc>
      </w:tr>
      <w:tr>
        <w:tc>
          <w:tcPr>
            <w:tcW w:type="dxa" w:w="4320"/>
          </w:tcPr>
          <w:p>
            <w:r>
              <w:t>5</w:t>
            </w:r>
          </w:p>
        </w:tc>
        <w:tc>
          <w:tcPr>
            <w:tcW w:type="dxa" w:w="4320"/>
          </w:tcPr>
          <w:p>
            <w:r>
              <w:t>Verify services, integrations, connectivity</w:t>
            </w:r>
          </w:p>
        </w:tc>
      </w:tr>
      <w:tr>
        <w:tc>
          <w:tcPr>
            <w:tcW w:type="dxa" w:w="4320"/>
          </w:tcPr>
          <w:p>
            <w:r>
              <w:t>6</w:t>
            </w:r>
          </w:p>
        </w:tc>
        <w:tc>
          <w:tcPr>
            <w:tcW w:type="dxa" w:w="4320"/>
          </w:tcPr>
          <w:p>
            <w:r>
              <w:t>Compare compute, transfer, storage | &gt;20% = justify</w:t>
            </w:r>
          </w:p>
        </w:tc>
      </w:tr>
    </w:tbl>
    <w:p>
      <w:pPr>
        <w:pStyle w:val="Heading1"/>
      </w:pPr>
      <w:r>
        <w:t>Appendix B: Glossary of Terms</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b/>
              </w:rPr>
              <w:t>Active-Active</w:t>
            </w:r>
          </w:p>
        </w:tc>
        <w:tc>
          <w:tcPr>
            <w:tcW w:type="dxa" w:w="4320"/>
          </w:tcPr>
          <w:p>
            <w:r>
              <w:t>Workloads run simultaneously in multiple regions</w:t>
            </w:r>
          </w:p>
        </w:tc>
      </w:tr>
      <w:tr>
        <w:tc>
          <w:tcPr>
            <w:tcW w:type="dxa" w:w="4320"/>
          </w:tcPr>
          <w:p>
            <w:r>
              <w:rPr>
                <w:b/>
              </w:rPr>
              <w:t>Concentration Risk</w:t>
            </w:r>
          </w:p>
        </w:tc>
        <w:tc>
          <w:tcPr>
            <w:tcW w:type="dxa" w:w="4320"/>
          </w:tcPr>
          <w:p>
            <w:r>
              <w:t>Risk from too many workloads in single region</w:t>
            </w:r>
          </w:p>
        </w:tc>
      </w:tr>
      <w:tr>
        <w:tc>
          <w:tcPr>
            <w:tcW w:type="dxa" w:w="4320"/>
          </w:tcPr>
          <w:p>
            <w:r>
              <w:rPr>
                <w:b/>
              </w:rPr>
              <w:t>Data Sovereignty</w:t>
            </w:r>
          </w:p>
        </w:tc>
        <w:tc>
          <w:tcPr>
            <w:tcW w:type="dxa" w:w="4320"/>
          </w:tcPr>
          <w:p>
            <w:r>
              <w:t>Data subject to laws of storage nation</w:t>
            </w:r>
          </w:p>
        </w:tc>
      </w:tr>
      <w:tr>
        <w:tc>
          <w:tcPr>
            <w:tcW w:type="dxa" w:w="4320"/>
          </w:tcPr>
          <w:p>
            <w:r>
              <w:rPr>
                <w:b/>
              </w:rPr>
              <w:t>DR</w:t>
            </w:r>
          </w:p>
        </w:tc>
        <w:tc>
          <w:tcPr>
            <w:tcW w:type="dxa" w:w="4320"/>
          </w:tcPr>
          <w:p>
            <w:r>
              <w:t>Disaster Recovery - restoring after disruption</w:t>
            </w:r>
          </w:p>
        </w:tc>
      </w:tr>
      <w:tr>
        <w:tc>
          <w:tcPr>
            <w:tcW w:type="dxa" w:w="4320"/>
          </w:tcPr>
          <w:p>
            <w:r>
              <w:rPr>
                <w:b/>
              </w:rPr>
              <w:t>GDPR</w:t>
            </w:r>
          </w:p>
        </w:tc>
        <w:tc>
          <w:tcPr>
            <w:tcW w:type="dxa" w:w="4320"/>
          </w:tcPr>
          <w:p>
            <w:r>
              <w:t>EU data protection regulation</w:t>
            </w:r>
          </w:p>
        </w:tc>
      </w:tr>
      <w:tr>
        <w:tc>
          <w:tcPr>
            <w:tcW w:type="dxa" w:w="4320"/>
          </w:tcPr>
          <w:p>
            <w:r>
              <w:rPr>
                <w:b/>
              </w:rPr>
              <w:t>Multi-AZ</w:t>
            </w:r>
          </w:p>
        </w:tc>
        <w:tc>
          <w:tcPr>
            <w:tcW w:type="dxa" w:w="4320"/>
          </w:tcPr>
          <w:p>
            <w:r>
              <w:t>Multiple Availability Zones in region</w:t>
            </w:r>
          </w:p>
        </w:tc>
      </w:tr>
      <w:tr>
        <w:tc>
          <w:tcPr>
            <w:tcW w:type="dxa" w:w="4320"/>
          </w:tcPr>
          <w:p>
            <w:r>
              <w:rPr>
                <w:b/>
              </w:rPr>
              <w:t>RPO</w:t>
            </w:r>
          </w:p>
        </w:tc>
        <w:tc>
          <w:tcPr>
            <w:tcW w:type="dxa" w:w="4320"/>
          </w:tcPr>
          <w:p>
            <w:r>
              <w:t>Recovery Point Objective - acceptable data age</w:t>
            </w:r>
          </w:p>
        </w:tc>
      </w:tr>
      <w:tr>
        <w:tc>
          <w:tcPr>
            <w:tcW w:type="dxa" w:w="4320"/>
          </w:tcPr>
          <w:p>
            <w:r>
              <w:rPr>
                <w:b/>
              </w:rPr>
              <w:t>RTO</w:t>
            </w:r>
          </w:p>
        </w:tc>
        <w:tc>
          <w:tcPr>
            <w:tcW w:type="dxa" w:w="4320"/>
          </w:tcPr>
          <w:p>
            <w:r>
              <w:t>Recovery Time Objective - acceptable downtime</w:t>
            </w:r>
          </w:p>
        </w:tc>
      </w:tr>
    </w:tbl>
    <w:p>
      <w:pPr>
        <w:pStyle w:val="Heading1"/>
      </w:pPr>
      <w:r>
        <w:t>Appendix C: Contact Information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Role</w:t>
            </w:r>
          </w:p>
        </w:tc>
        <w:tc>
          <w:tcPr>
            <w:tcW w:type="dxa" w:w="2880"/>
            <w:shd w:fill="2E75B6"/>
          </w:tcPr>
          <w:p>
            <w:pPr>
              <w:jc w:val="center"/>
            </w:pPr>
            <w:r>
              <w:rPr>
                <w:rFonts w:ascii="Arial" w:hAnsi="Arial"/>
                <w:b/>
                <w:color w:val="FFFFFF"/>
                <w:sz w:val="20"/>
              </w:rPr>
              <w:t>Department</w:t>
            </w:r>
          </w:p>
        </w:tc>
        <w:tc>
          <w:tcPr>
            <w:tcW w:type="dxa" w:w="2880"/>
            <w:shd w:fill="2E75B6"/>
          </w:tcPr>
          <w:p>
            <w:pPr>
              <w:jc w:val="center"/>
            </w:pPr>
            <w:r>
              <w:rPr>
                <w:rFonts w:ascii="Arial" w:hAnsi="Arial"/>
                <w:b/>
                <w:color w:val="FFFFFF"/>
                <w:sz w:val="20"/>
              </w:rPr>
              <w:t>Responsibility</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CTO</w:t>
            </w:r>
          </w:p>
        </w:tc>
        <w:tc>
          <w:tcPr>
            <w:tcW w:type="dxa" w:w="2880"/>
          </w:tcPr>
          <w:p>
            <w:r>
              <w:t>Technology</w:t>
            </w:r>
          </w:p>
        </w:tc>
        <w:tc>
          <w:tcPr>
            <w:tcW w:type="dxa" w:w="2880"/>
          </w:tcPr>
          <w:p>
            <w:r>
              <w:t>Tier 1 approvals</w:t>
            </w:r>
          </w:p>
        </w:tc>
      </w:tr>
      <w:tr>
        <w:tc>
          <w:tcPr>
            <w:tcW w:type="dxa" w:w="2880"/>
          </w:tcPr>
          <w:p>
            <w:r>
              <w:t>VP Infrastructure</w:t>
            </w:r>
          </w:p>
        </w:tc>
        <w:tc>
          <w:tcPr>
            <w:tcW w:type="dxa" w:w="2880"/>
          </w:tcPr>
          <w:p>
            <w:r>
              <w:t>Infrastructure</w:t>
            </w:r>
          </w:p>
        </w:tc>
        <w:tc>
          <w:tcPr>
            <w:tcW w:type="dxa" w:w="2880"/>
          </w:tcPr>
          <w:p>
            <w:r>
              <w:t>Framework oversight</w:t>
            </w:r>
          </w:p>
        </w:tc>
      </w:tr>
      <w:tr>
        <w:tc>
          <w:tcPr>
            <w:tcW w:type="dxa" w:w="2880"/>
          </w:tcPr>
          <w:p>
            <w:r>
              <w:t>Director Cloud Ops</w:t>
            </w:r>
          </w:p>
        </w:tc>
        <w:tc>
          <w:tcPr>
            <w:tcW w:type="dxa" w:w="2880"/>
          </w:tcPr>
          <w:p>
            <w:r>
              <w:t>Cloud Operations</w:t>
            </w:r>
          </w:p>
        </w:tc>
        <w:tc>
          <w:tcPr>
            <w:tcW w:type="dxa" w:w="2880"/>
          </w:tcPr>
          <w:p>
            <w:r>
              <w:t>Tier 2 approvals</w:t>
            </w:r>
          </w:p>
        </w:tc>
      </w:tr>
      <w:tr>
        <w:tc>
          <w:tcPr>
            <w:tcW w:type="dxa" w:w="2880"/>
          </w:tcPr>
          <w:p>
            <w:r>
              <w:t>Senior Cloud Architect</w:t>
            </w:r>
          </w:p>
        </w:tc>
        <w:tc>
          <w:tcPr>
            <w:tcW w:type="dxa" w:w="2880"/>
          </w:tcPr>
          <w:p>
            <w:r>
              <w:t>Architecture</w:t>
            </w:r>
          </w:p>
        </w:tc>
        <w:tc>
          <w:tcPr>
            <w:tcW w:type="dxa" w:w="2880"/>
          </w:tcPr>
          <w:p>
            <w:r>
              <w:t>Tier 3 approvals</w:t>
            </w:r>
          </w:p>
        </w:tc>
      </w:tr>
      <w:tr>
        <w:tc>
          <w:tcPr>
            <w:tcW w:type="dxa" w:w="2880"/>
          </w:tcPr>
          <w:p>
            <w:r>
              <w:t>Compliance Officer</w:t>
            </w:r>
          </w:p>
        </w:tc>
        <w:tc>
          <w:tcPr>
            <w:tcW w:type="dxa" w:w="2880"/>
          </w:tcPr>
          <w:p>
            <w:r>
              <w:t>Legal &amp; Compliance</w:t>
            </w:r>
          </w:p>
        </w:tc>
        <w:tc>
          <w:tcPr>
            <w:tcW w:type="dxa" w:w="2880"/>
          </w:tcPr>
          <w:p>
            <w:r>
              <w:t>Data sovereignty</w:t>
            </w:r>
          </w:p>
        </w:tc>
      </w:tr>
    </w:tbl>
    <w:p>
      <w:r>
        <w:br w:type="page"/>
      </w:r>
    </w:p>
    <w:p>
      <w:pPr>
        <w:pStyle w:val="Heading1"/>
      </w:pPr>
      <w:r>
        <w:t>Document Control</w:t>
      </w:r>
    </w:p>
    <w:p>
      <w:pPr>
        <w:pStyle w:val="Heading2"/>
      </w:pPr>
      <w:r>
        <w:t>Version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pPr>
              <w:jc w:val="center"/>
            </w:pPr>
            <w:r>
              <w:rPr>
                <w:rFonts w:ascii="Arial" w:hAnsi="Arial"/>
                <w:b/>
                <w:color w:val="FFFFFF"/>
                <w:sz w:val="20"/>
              </w:rPr>
              <w:t>Version</w:t>
            </w:r>
          </w:p>
        </w:tc>
        <w:tc>
          <w:tcPr>
            <w:tcW w:type="dxa" w:w="2160"/>
            <w:shd w:fill="2E75B6"/>
          </w:tcPr>
          <w:p>
            <w:pPr>
              <w:jc w:val="center"/>
            </w:pPr>
            <w:r>
              <w:rPr>
                <w:rFonts w:ascii="Arial" w:hAnsi="Arial"/>
                <w:b/>
                <w:color w:val="FFFFFF"/>
                <w:sz w:val="20"/>
              </w:rPr>
              <w:t>Date</w:t>
            </w:r>
          </w:p>
        </w:tc>
        <w:tc>
          <w:tcPr>
            <w:tcW w:type="dxa" w:w="2160"/>
            <w:shd w:fill="2E75B6"/>
          </w:tcPr>
          <w:p>
            <w:pPr>
              <w:jc w:val="center"/>
            </w:pPr>
            <w:r>
              <w:rPr>
                <w:rFonts w:ascii="Arial" w:hAnsi="Arial"/>
                <w:b/>
                <w:color w:val="FFFFFF"/>
                <w:sz w:val="20"/>
              </w:rPr>
              <w:t>Author</w:t>
            </w:r>
          </w:p>
        </w:tc>
        <w:tc>
          <w:tcPr>
            <w:tcW w:type="dxa" w:w="2160"/>
            <w:shd w:fill="2E75B6"/>
          </w:tcPr>
          <w:p>
            <w:pPr>
              <w:jc w:val="center"/>
            </w:pPr>
            <w:r>
              <w:rPr>
                <w:rFonts w:ascii="Arial" w:hAnsi="Arial"/>
                <w:b/>
                <w:color w:val="FFFFFF"/>
                <w:sz w:val="20"/>
              </w:rPr>
              <w:t>Changes</w:t>
            </w:r>
          </w:p>
        </w:tc>
      </w:tr>
      <w:tr>
        <w:tc>
          <w:tcPr>
            <w:tcW w:type="dxa" w:w="2160"/>
          </w:tcPr>
          <w:p>
            <w:r>
              <w:t>1.0</w:t>
            </w:r>
          </w:p>
        </w:tc>
        <w:tc>
          <w:tcPr>
            <w:tcW w:type="dxa" w:w="2160"/>
          </w:tcPr>
          <w:p>
            <w:r>
              <w:t>Dec 2025</w:t>
            </w:r>
          </w:p>
        </w:tc>
        <w:tc>
          <w:tcPr>
            <w:tcW w:type="dxa" w:w="2160"/>
          </w:tcPr>
          <w:p>
            <w:r>
              <w:t>Cloud Architecture Team</w:t>
            </w:r>
          </w:p>
        </w:tc>
        <w:tc>
          <w:tcPr>
            <w:tcW w:type="dxa" w:w="2160"/>
          </w:tcPr>
          <w:p>
            <w:r>
              <w:t>Initial release addressing audit recommendation</w:t>
            </w:r>
          </w:p>
        </w:tc>
      </w:tr>
    </w:tbl>
    <w:p>
      <w:pPr>
        <w:pStyle w:val="Heading2"/>
      </w:pPr>
      <w:r>
        <w:t>Review and Approval</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Role</w:t>
            </w:r>
          </w:p>
        </w:tc>
        <w:tc>
          <w:tcPr>
            <w:tcW w:type="dxa" w:w="2880"/>
            <w:shd w:fill="2E75B6"/>
          </w:tcPr>
          <w:p>
            <w:pPr>
              <w:jc w:val="center"/>
            </w:pPr>
            <w:r>
              <w:rPr>
                <w:rFonts w:ascii="Arial" w:hAnsi="Arial"/>
                <w:b/>
                <w:color w:val="FFFFFF"/>
                <w:sz w:val="20"/>
              </w:rPr>
              <w:t>Name</w:t>
            </w:r>
          </w:p>
        </w:tc>
        <w:tc>
          <w:tcPr>
            <w:tcW w:type="dxa" w:w="2880"/>
            <w:shd w:fill="2E75B6"/>
          </w:tcPr>
          <w:p>
            <w:pPr>
              <w:jc w:val="center"/>
            </w:pPr>
            <w:r>
              <w:rPr>
                <w:rFonts w:ascii="Arial" w:hAnsi="Arial"/>
                <w:b/>
                <w:color w:val="FFFFFF"/>
                <w:sz w:val="20"/>
              </w:rPr>
              <w:t>Signature/Date</w:t>
            </w:r>
          </w:p>
        </w:tc>
      </w:tr>
      <w:tr>
        <w:tc>
          <w:tcPr>
            <w:tcW w:type="dxa" w:w="2880"/>
          </w:tcPr>
          <w:p>
            <w:r>
              <w:t>Prepared by:</w:t>
            </w:r>
          </w:p>
        </w:tc>
        <w:tc>
          <w:tcPr>
            <w:tcW w:type="dxa" w:w="2880"/>
          </w:tcPr>
          <w:p>
            <w:r>
              <w:t>Senior Lead Cloud Architect</w:t>
            </w:r>
          </w:p>
        </w:tc>
        <w:tc>
          <w:tcPr>
            <w:tcW w:type="dxa" w:w="2880"/>
          </w:tcPr>
          <w:p>
            <w:r>
              <w:t>_________________</w:t>
            </w:r>
          </w:p>
        </w:tc>
      </w:tr>
      <w:tr>
        <w:tc>
          <w:tcPr>
            <w:tcW w:type="dxa" w:w="2880"/>
          </w:tcPr>
          <w:p>
            <w:r>
              <w:t>Reviewed by:</w:t>
            </w:r>
          </w:p>
        </w:tc>
        <w:tc>
          <w:tcPr>
            <w:tcW w:type="dxa" w:w="2880"/>
          </w:tcPr>
          <w:p>
            <w:r>
              <w:t>VP Infrastructure</w:t>
            </w:r>
          </w:p>
        </w:tc>
        <w:tc>
          <w:tcPr>
            <w:tcW w:type="dxa" w:w="2880"/>
          </w:tcPr>
          <w:p>
            <w:r>
              <w:t>_________________</w:t>
            </w:r>
          </w:p>
        </w:tc>
      </w:tr>
      <w:tr>
        <w:tc>
          <w:tcPr>
            <w:tcW w:type="dxa" w:w="2880"/>
          </w:tcPr>
          <w:p>
            <w:r>
              <w:t>Approved by:</w:t>
            </w:r>
          </w:p>
        </w:tc>
        <w:tc>
          <w:tcPr>
            <w:tcW w:type="dxa" w:w="2880"/>
          </w:tcPr>
          <w:p>
            <w:r>
              <w:t>CTO</w:t>
            </w:r>
          </w:p>
        </w:tc>
        <w:tc>
          <w:tcPr>
            <w:tcW w:type="dxa" w:w="2880"/>
          </w:tcPr>
          <w:p>
            <w:r>
              <w:t>_________________</w:t>
            </w:r>
          </w:p>
        </w:tc>
      </w:tr>
    </w:tbl>
    <w:p/>
    <w:p>
      <w:pPr>
        <w:jc w:val="center"/>
      </w:pPr>
      <w:r>
        <w:rPr>
          <w:b/>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