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2E75B6"/>
          <w:sz w:val="48"/>
        </w:rPr>
        <w:t>Cloud Workload Placement Decision Tree</w:t>
      </w:r>
    </w:p>
    <w:p>
      <w:pPr>
        <w:jc w:val="center"/>
      </w:pPr>
      <w:r>
        <w:rPr>
          <w:color w:val="44546A"/>
          <w:sz w:val="28"/>
        </w:rPr>
        <w:t>Multi-Region Deployment Strategy for AWS and Azure</w:t>
      </w:r>
    </w:p>
    <w:p>
      <w:pPr>
        <w:jc w:val="center"/>
      </w:pPr>
      <w:r>
        <w:rPr>
          <w:i/>
          <w:color w:val="44546A"/>
          <w:sz w:val="24"/>
        </w:rPr>
        <w:t>DORA-Compliant ICT Risk Management Framework</w:t>
      </w:r>
    </w:p>
    <w:p/>
    <w:p/>
    <w:p>
      <w:pPr>
        <w:jc w:val="center"/>
      </w:pPr>
      <w:r>
        <w:rPr>
          <w:i/>
        </w:rPr>
        <w:t>Document Version: 1.0</w:t>
      </w:r>
    </w:p>
    <w:p>
      <w:pPr>
        <w:jc w:val="center"/>
      </w:pPr>
      <w:r>
        <w:rPr>
          <w:i/>
        </w:rPr>
        <w:t>Date: December 2025</w:t>
      </w:r>
    </w:p>
    <w:p>
      <w:pPr>
        <w:jc w:val="center"/>
      </w:pPr>
      <w:r>
        <w:rPr>
          <w:b/>
          <w:color w:val="C00000"/>
        </w:rPr>
        <w:t>Classification: Internal Use Only</w:t>
      </w:r>
    </w:p>
    <w:p>
      <w:r>
        <w:br w:type="page"/>
      </w:r>
    </w:p>
    <w:p>
      <w:pPr>
        <w:pStyle w:val="Heading1"/>
      </w:pPr>
      <w:r>
        <w:t>1. Executive Summary</w:t>
      </w:r>
    </w:p>
    <w:p>
      <w:r>
        <w:t>This document establishes a comprehensive decision framework for cloud workload placement across multiple geographic regions in response to the Internal Audit recommendation regarding DORA (Digital Operational Resilience Act) compliance and ICT risk management requirements. The framework addresses the identified gaps in formal risk analysis for workload concentration in cloud regions and provides a systematic approach for deployment decisions that ensures operational resilience.</w:t>
      </w:r>
    </w:p>
    <w:p>
      <w:r>
        <w:t>Following successful Disaster Recovery tests in 2025 on cloud providers including Darwin, Glorec, Baltra, and Orbe, this framework establishes the necessary formal risk assessment process mandated by DORA to evaluate ICT concentration risk, third-party dependencies, and operational resilience before migration or deployment activities (End-to-End E2E process).</w:t>
      </w:r>
    </w:p>
    <w:p>
      <w:r>
        <w:t>This framework ensures compliance with DORA Articles 6 (ICT risk management), 28 (ICT concentration risk), and 30 (ICT third-party service providers) by providing structured assessment and documentation of cloud deployment decisions.</w:t>
      </w:r>
    </w:p>
    <w:p>
      <w:pPr>
        <w:pStyle w:val="Heading1"/>
      </w:pPr>
      <w:r>
        <w:t>2. Background and Context</w:t>
      </w:r>
    </w:p>
    <w:p>
      <w:pPr>
        <w:pStyle w:val="Heading2"/>
      </w:pPr>
      <w:r>
        <w:t>2.1 DORA Regulatory Framework</w:t>
      </w:r>
    </w:p>
    <w:p>
      <w:r>
        <w:t>The Digital Operational Resilience Act (DORA) establishes a comprehensive regulatory framework for ICT risk management in the financial sector. Key requirements relevant to cloud workload placement include:</w:t>
      </w:r>
    </w:p>
    <w:p>
      <w:pPr>
        <w:pStyle w:val="ListBullet"/>
      </w:pPr>
      <w:r>
        <w:t>ICT Risk Management (Article 6): Organizations must identify, classify, and manage ICT risks through appropriate policies and procedures</w:t>
      </w:r>
    </w:p>
    <w:p>
      <w:pPr>
        <w:pStyle w:val="ListBullet"/>
      </w:pPr>
      <w:r>
        <w:t>ICT Concentration Risk (Article 28): Organizations must identify and prevent ICT concentration risk, including dependencies on single providers or regions</w:t>
      </w:r>
    </w:p>
    <w:p>
      <w:pPr>
        <w:pStyle w:val="ListBullet"/>
      </w:pPr>
      <w:r>
        <w:t>Third-Party Risk Management (Article 30): Comprehensive assessment and monitoring of ICT third-party service providers</w:t>
      </w:r>
    </w:p>
    <w:p>
      <w:pPr>
        <w:pStyle w:val="ListBullet"/>
      </w:pPr>
      <w:r>
        <w:t>Exit Strategies (Article 28): Documented plans for transitioning between providers or regions to avoid lock-in</w:t>
      </w:r>
    </w:p>
    <w:p>
      <w:pPr>
        <w:pStyle w:val="ListBullet"/>
      </w:pPr>
      <w:r>
        <w:t>Testing Requirements (Article 24-25): Regular testing of business continuity and disaster recovery capabilities</w:t>
      </w:r>
    </w:p>
    <w:p>
      <w:pPr>
        <w:pStyle w:val="Heading2"/>
      </w:pPr>
      <w:r>
        <w:t>2.2 Audit Finding Summary</w:t>
      </w:r>
    </w:p>
    <w:p>
      <w:r>
        <w:t>The Internal Audit identified that while Disaster Recovery capabilities have been validated through testing in 2025, no formal, documented risk analysis exists to evaluate ICT concentration risk and third-party dependencies before deploying, migrating, or moving technological workloads to cloud regions. DORA Article 28 requires this analysis to prevent excessive concentration and ensure operational resilience.</w:t>
      </w:r>
    </w:p>
    <w:p>
      <w:pPr>
        <w:pStyle w:val="Heading2"/>
      </w:pPr>
      <w:r>
        <w:t>2.3 Current Multi-Cloud Infrastructure</w:t>
      </w:r>
    </w:p>
    <w:p>
      <w:r>
        <w:t>Our organization maintains a multi-cloud strategy with critical applications deployed across:</w:t>
      </w:r>
    </w:p>
    <w:p>
      <w:pPr>
        <w:pStyle w:val="ListBullet"/>
      </w:pPr>
      <w:r>
        <w:t>Amazon Web Services (AWS): Multiple regions including Virginia, Frankfurt, Ireland, and Spain</w:t>
      </w:r>
    </w:p>
    <w:p>
      <w:pPr>
        <w:pStyle w:val="ListBullet"/>
      </w:pPr>
      <w:r>
        <w:t>Microsoft Azure: Amsterdam region (primary Azure deployment zone)</w:t>
      </w:r>
    </w:p>
    <w:p>
      <w:pPr>
        <w:pStyle w:val="ListBullet"/>
      </w:pPr>
      <w:r>
        <w:t>Google Cloud Platform (GCP): Components in various regions</w:t>
      </w:r>
    </w:p>
    <w:p>
      <w:r>
        <w:t>This multi-cloud approach aligns with DORA requirements to avoid concentration risk on a single provider, but requires formal assessment frameworks to ensure compliance.</w:t>
      </w:r>
    </w:p>
    <w:p>
      <w:r>
        <w:br w:type="page"/>
      </w:r>
    </w:p>
    <w:p>
      <w:pPr>
        <w:pStyle w:val="Heading1"/>
      </w:pPr>
      <w:r>
        <w:t>3. Strategic Objectives</w:t>
      </w:r>
    </w:p>
    <w:p>
      <w:r>
        <w:t>The cloud workload placement strategy achieves the following DORA-aligned objectives:</w:t>
      </w:r>
    </w:p>
    <w:p>
      <w:pPr>
        <w:pStyle w:val="ListNumber"/>
      </w:pPr>
      <w:r>
        <w:t>ICT Concentration Risk Management: Prevent excessive dependencies on single cloud providers or regions per DORA Article 28</w:t>
      </w:r>
    </w:p>
    <w:p>
      <w:pPr>
        <w:pStyle w:val="ListNumber"/>
      </w:pPr>
      <w:r>
        <w:t>Operational Resilience: Ensure service continuity through geographic distribution and robust disaster recovery</w:t>
      </w:r>
    </w:p>
    <w:p>
      <w:pPr>
        <w:pStyle w:val="ListNumber"/>
      </w:pPr>
      <w:r>
        <w:t>Third-Party Risk Assessment: Systematic evaluation of cloud provider dependencies per DORA Article 30</w:t>
      </w:r>
    </w:p>
    <w:p>
      <w:pPr>
        <w:pStyle w:val="ListNumber"/>
      </w:pPr>
      <w:r>
        <w:t>Exit Strategy Preparedness: Maintain ability to transition between providers and regions to avoid vendor lock-in</w:t>
      </w:r>
    </w:p>
    <w:p>
      <w:pPr>
        <w:pStyle w:val="ListNumber"/>
      </w:pPr>
      <w:r>
        <w:t>Regulatory Compliance: Ensure adherence to DORA, data sovereignty, and GDPR requirements</w:t>
      </w:r>
    </w:p>
    <w:p>
      <w:pPr>
        <w:pStyle w:val="ListNumber"/>
      </w:pPr>
      <w:r>
        <w:t>Testing and Validation: Regular testing of resilience capabilities per DORA Articles 24-25</w:t>
      </w:r>
    </w:p>
    <w:p>
      <w:pPr>
        <w:pStyle w:val="ListNumber"/>
      </w:pPr>
      <w:r>
        <w:t>Documented Decision Framework: Repeatable, auditable processes for ICT risk management per DORA Article 6</w:t>
      </w:r>
    </w:p>
    <w:p>
      <w:r>
        <w:br w:type="page"/>
      </w:r>
    </w:p>
    <w:p>
      <w:pPr>
        <w:pStyle w:val="Heading1"/>
      </w:pPr>
      <w:r>
        <w:t>4. DORA-Aligned Decision Tree Framework</w:t>
      </w:r>
    </w:p>
    <w:p>
      <w:r>
        <w:t>The following decision tree provides a systematic approach for determining optimal cloud workload placement in compliance with DORA requirements. Each decision point evaluates critical factors that influence regional deployment and ICT risk management.</w:t>
      </w:r>
    </w:p>
    <w:p>
      <w:pPr>
        <w:pStyle w:val="Heading2"/>
      </w:pPr>
      <w:r>
        <w:t>4.1 Primary Decision Path</w:t>
      </w:r>
    </w:p>
    <w:tbl>
      <w:tblPr>
        <w:tblStyle w:val="LightGrid-Accent1"/>
        <w:tblW w:type="auto" w:w="0"/>
        <w:tblLook w:firstColumn="1" w:firstRow="1" w:lastColumn="0" w:lastRow="0" w:noHBand="0" w:noVBand="1" w:val="04A0"/>
      </w:tblPr>
      <w:tblGrid>
        <w:gridCol w:w="4320"/>
        <w:gridCol w:w="4320"/>
      </w:tblGrid>
      <w:tr>
        <w:tc>
          <w:tcPr>
            <w:tcW w:type="dxa" w:w="4320"/>
            <w:shd w:fill="2E75B6"/>
          </w:tcPr>
          <w:p>
            <w:pPr>
              <w:jc w:val="center"/>
            </w:pPr>
            <w:r>
              <w:rPr>
                <w:rFonts w:ascii="Arial" w:hAnsi="Arial"/>
                <w:b/>
                <w:color w:val="FFFFFF"/>
                <w:sz w:val="20"/>
              </w:rPr>
              <w:t>Decision Point</w:t>
            </w:r>
          </w:p>
        </w:tc>
        <w:tc>
          <w:tcPr>
            <w:tcW w:type="dxa" w:w="4320"/>
            <w:shd w:fill="2E75B6"/>
          </w:tcPr>
          <w:p>
            <w:pPr>
              <w:jc w:val="center"/>
            </w:pPr>
            <w:r>
              <w:rPr>
                <w:rFonts w:ascii="Arial" w:hAnsi="Arial"/>
                <w:b/>
                <w:color w:val="FFFFFF"/>
                <w:sz w:val="20"/>
              </w:rPr>
              <w:t>Evaluation Criteria and Outcomes</w:t>
            </w:r>
          </w:p>
        </w:tc>
      </w:tr>
      <w:tr>
        <w:tc>
          <w:tcPr>
            <w:tcW w:type="dxa" w:w="4320"/>
          </w:tcPr>
          <w:p>
            <w:r>
              <w:t>STEP 1:</w:t>
              <w:br/>
              <w:t>ICT Concentration Risk</w:t>
              <w:br/>
              <w:t>(DORA Art. 28)</w:t>
            </w:r>
          </w:p>
        </w:tc>
        <w:tc>
          <w:tcPr>
            <w:tcW w:type="dxa" w:w="4320"/>
          </w:tcPr>
          <w:p>
            <w:r>
              <w:rPr>
                <w:b/>
              </w:rPr>
              <w:t xml:space="preserve">Question: </w:t>
            </w:r>
            <w:r>
              <w:t>What percentage of critical ICT services exist in candidate provider/region?</w:t>
              <w:br/>
              <w:br/>
            </w:r>
            <w:r>
              <w:rPr>
                <w:b/>
                <w:color w:val="C00000"/>
              </w:rPr>
              <w:t xml:space="preserve">&gt; 60% concentration: </w:t>
            </w:r>
            <w:r>
              <w:t>CRITICAL RISK - Must diversify. Prefer alternative provider/region</w:t>
              <w:br/>
            </w:r>
            <w:r>
              <w:rPr>
                <w:b/>
                <w:color w:val="FFC000"/>
              </w:rPr>
              <w:t xml:space="preserve">40-60% concentration: </w:t>
            </w:r>
            <w:r>
              <w:t>HIGH RISK - Acceptable only with robust exit strategy and DR plan</w:t>
              <w:br/>
            </w:r>
            <w:r>
              <w:rPr>
                <w:b/>
                <w:color w:val="70AD47"/>
              </w:rPr>
              <w:t xml:space="preserve">&lt; 40% concentration: </w:t>
            </w:r>
            <w:r>
              <w:t>ACCEPTABLE - Well-distributed portfolio compliant with DORA</w:t>
            </w:r>
          </w:p>
        </w:tc>
      </w:tr>
      <w:tr>
        <w:tc>
          <w:tcPr>
            <w:tcW w:type="dxa" w:w="4320"/>
          </w:tcPr>
          <w:p>
            <w:r>
              <w:t>STEP 2:</w:t>
              <w:br/>
              <w:t>Business Criticality &amp;</w:t>
              <w:br/>
              <w:t>Operational Resilience</w:t>
            </w:r>
          </w:p>
        </w:tc>
        <w:tc>
          <w:tcPr>
            <w:tcW w:type="dxa" w:w="4320"/>
          </w:tcPr>
          <w:p>
            <w:r>
              <w:rPr>
                <w:b/>
              </w:rPr>
              <w:t xml:space="preserve">Question: </w:t>
            </w:r>
            <w:r>
              <w:t>What is the business impact classification and resilience requirements?</w:t>
              <w:br/>
              <w:br/>
            </w:r>
            <w:r>
              <w:rPr>
                <w:b/>
                <w:color w:val="C00000"/>
              </w:rPr>
              <w:t xml:space="preserve">TIER 1 (Critical): </w:t>
            </w:r>
            <w:r>
              <w:t>RTO &lt; 4 hours, RPO &lt; 15 minutes → Multi-region active-active required</w:t>
              <w:br/>
            </w:r>
            <w:r>
              <w:rPr>
                <w:b/>
                <w:color w:val="FFC000"/>
              </w:rPr>
              <w:t xml:space="preserve">TIER 2 (High): </w:t>
            </w:r>
            <w:r>
              <w:t>RTO &lt; 24 hours, RPO &lt; 1 hour → Primary region with automated DR</w:t>
              <w:br/>
            </w:r>
            <w:r>
              <w:rPr>
                <w:b/>
                <w:color w:val="70AD47"/>
              </w:rPr>
              <w:t xml:space="preserve">TIER 3 (Standard): </w:t>
            </w:r>
            <w:r>
              <w:t>RTO &lt; 72 hours, RPO &lt; 24 hours → Single region with backup strategy acceptable</w:t>
            </w:r>
          </w:p>
        </w:tc>
      </w:tr>
      <w:tr>
        <w:tc>
          <w:tcPr>
            <w:tcW w:type="dxa" w:w="4320"/>
          </w:tcPr>
          <w:p>
            <w:r>
              <w:t>STEP 3:</w:t>
              <w:br/>
              <w:t>Exit Strategy &amp;</w:t>
              <w:br/>
              <w:t>Substitutability</w:t>
              <w:br/>
              <w:t>(DORA Art. 28)</w:t>
            </w:r>
          </w:p>
        </w:tc>
        <w:tc>
          <w:tcPr>
            <w:tcW w:type="dxa" w:w="4320"/>
          </w:tcPr>
          <w:p>
            <w:r>
              <w:rPr>
                <w:b/>
              </w:rPr>
              <w:t xml:space="preserve">Evaluation: </w:t>
            </w:r>
            <w:r>
              <w:t>Assess ability to transition to alternative provider/region</w:t>
              <w:br/>
              <w:br/>
            </w:r>
            <w:r>
              <w:rPr>
                <w:b/>
              </w:rPr>
              <w:t xml:space="preserve">Exit Strategy Complexity: </w:t>
            </w:r>
            <w:r>
              <w:t>High → Requires detailed migration plan and testing</w:t>
              <w:br/>
            </w:r>
            <w:r>
              <w:rPr>
                <w:b/>
              </w:rPr>
              <w:t xml:space="preserve">Substitutability: </w:t>
            </w:r>
            <w:r>
              <w:t>Identify alternative providers/regions that can support workload</w:t>
              <w:br/>
            </w:r>
            <w:r>
              <w:rPr>
                <w:b/>
              </w:rPr>
              <w:t xml:space="preserve">Lock-in Risk: </w:t>
            </w:r>
            <w:r>
              <w:t>Avoid proprietary services that prevent portability</w:t>
              <w:br/>
            </w:r>
            <w:r>
              <w:rPr>
                <w:b/>
              </w:rPr>
              <w:t xml:space="preserve">Transition Testing: </w:t>
            </w:r>
            <w:r>
              <w:t>Document and test migration procedures annually</w:t>
            </w:r>
          </w:p>
        </w:tc>
      </w:tr>
      <w:tr>
        <w:tc>
          <w:tcPr>
            <w:tcW w:type="dxa" w:w="4320"/>
          </w:tcPr>
          <w:p>
            <w:r>
              <w:t>STEP 4:</w:t>
              <w:br/>
              <w:t>Data Sovereignty &amp;</w:t>
              <w:br/>
              <w:t>Regulatory Compliance</w:t>
            </w:r>
          </w:p>
        </w:tc>
        <w:tc>
          <w:tcPr>
            <w:tcW w:type="dxa" w:w="4320"/>
          </w:tcPr>
          <w:p>
            <w:r>
              <w:rPr>
                <w:b/>
              </w:rPr>
              <w:t xml:space="preserve">Question: </w:t>
            </w:r>
            <w:r>
              <w:t>Does the workload process data subject to GDPR or regulatory requirements?</w:t>
              <w:br/>
              <w:br/>
            </w:r>
            <w:r>
              <w:rPr>
                <w:b/>
                <w:color w:val="C00000"/>
              </w:rPr>
              <w:t xml:space="preserve">YES - EU citizen data: </w:t>
            </w:r>
            <w:r>
              <w:t>Must deploy in EU region (Frankfurt, Ireland, Spain). Proceed with EU regions only.</w:t>
              <w:br/>
            </w:r>
            <w:r>
              <w:rPr>
                <w:b/>
                <w:color w:val="FFC000"/>
              </w:rPr>
              <w:t xml:space="preserve">YES - Other regulations: </w:t>
            </w:r>
            <w:r>
              <w:t>Identify required jurisdiction and filter regions accordingly.</w:t>
              <w:br/>
            </w:r>
            <w:r>
              <w:rPr>
                <w:b/>
                <w:color w:val="70AD47"/>
              </w:rPr>
              <w:t xml:space="preserve">NO - No restrictions: </w:t>
            </w:r>
            <w:r>
              <w:t>Global deployment possible. All regions available for consideration.</w:t>
            </w:r>
          </w:p>
        </w:tc>
      </w:tr>
      <w:tr>
        <w:tc>
          <w:tcPr>
            <w:tcW w:type="dxa" w:w="4320"/>
          </w:tcPr>
          <w:p>
            <w:r>
              <w:t>STEP 5:</w:t>
              <w:br/>
              <w:t>Technical Dependencies &amp;</w:t>
              <w:br/>
              <w:t>Service Availability</w:t>
            </w:r>
          </w:p>
        </w:tc>
        <w:tc>
          <w:tcPr>
            <w:tcW w:type="dxa" w:w="4320"/>
          </w:tcPr>
          <w:p>
            <w:r>
              <w:rPr>
                <w:b/>
              </w:rPr>
              <w:t xml:space="preserve">Evaluation: </w:t>
            </w:r>
            <w:r>
              <w:t>Assess service availability and integration requirements</w:t>
              <w:br/>
              <w:br/>
            </w:r>
            <w:r>
              <w:rPr>
                <w:b/>
              </w:rPr>
              <w:t xml:space="preserve">Check: </w:t>
            </w:r>
            <w:r>
              <w:t>Required cloud services available in target region</w:t>
              <w:br/>
            </w:r>
            <w:r>
              <w:rPr>
                <w:b/>
              </w:rPr>
              <w:t xml:space="preserve">Check: </w:t>
            </w:r>
            <w:r>
              <w:t>Integration with existing systems (databases, message queues, data lakes)</w:t>
              <w:br/>
            </w:r>
            <w:r>
              <w:rPr>
                <w:b/>
              </w:rPr>
              <w:t xml:space="preserve">Check: </w:t>
            </w:r>
            <w:r>
              <w:t>Network connectivity and data transfer costs</w:t>
              <w:br/>
            </w:r>
            <w:r>
              <w:rPr>
                <w:b/>
              </w:rPr>
              <w:t xml:space="preserve">Check: </w:t>
            </w:r>
            <w:r>
              <w:t>Third-party SaaS integrations and API endpoints accessible</w:t>
              <w:br/>
            </w:r>
            <w:r>
              <w:rPr>
                <w:b/>
              </w:rPr>
              <w:t xml:space="preserve">Check: </w:t>
            </w:r>
            <w:r>
              <w:t>Provider SLA meets operational resilience requirements</w:t>
            </w:r>
          </w:p>
        </w:tc>
      </w:tr>
      <w:tr>
        <w:tc>
          <w:tcPr>
            <w:tcW w:type="dxa" w:w="4320"/>
          </w:tcPr>
          <w:p>
            <w:r>
              <w:t>STEP 6:</w:t>
              <w:br/>
              <w:t>Performance &amp;</w:t>
              <w:br/>
              <w:t>Cost Analysis</w:t>
            </w:r>
          </w:p>
        </w:tc>
        <w:tc>
          <w:tcPr>
            <w:tcW w:type="dxa" w:w="4320"/>
          </w:tcPr>
          <w:p>
            <w:r>
              <w:rPr>
                <w:b/>
              </w:rPr>
              <w:t xml:space="preserve">Evaluation: </w:t>
            </w:r>
            <w:r>
              <w:t>Balance performance requirements with cost considerations</w:t>
              <w:br/>
              <w:br/>
            </w:r>
            <w:r>
              <w:rPr>
                <w:b/>
              </w:rPr>
              <w:t xml:space="preserve">Latency Requirements: </w:t>
            </w:r>
            <w:r>
              <w:t>&lt;50ms: Closest region | 50-100ms: Balance factors | &gt;100ms: Cost priority</w:t>
              <w:br/>
            </w:r>
            <w:r>
              <w:rPr>
                <w:b/>
              </w:rPr>
              <w:t xml:space="preserve">Cost Analysis: </w:t>
            </w:r>
            <w:r>
              <w:t>Compare compute, data transfer, storage costs across regions</w:t>
              <w:br/>
            </w:r>
            <w:r>
              <w:rPr>
                <w:b/>
              </w:rPr>
              <w:t xml:space="preserve">Decision Threshold: </w:t>
            </w:r>
            <w:r>
              <w:t>If cost difference exceeds 20%, justify based on resilience requirements</w:t>
            </w:r>
          </w:p>
        </w:tc>
      </w:tr>
    </w:tbl>
    <w:p>
      <w:r>
        <w:br w:type="page"/>
      </w:r>
    </w:p>
    <w:p>
      <w:pPr>
        <w:pStyle w:val="Heading1"/>
      </w:pPr>
      <w:r>
        <w:t>5. Regional Deployment Matrix</w:t>
      </w:r>
    </w:p>
    <w:p>
      <w:r>
        <w:t>The following matrix provides specific guidance for deploying workloads across our approved cloud regions based on the DORA-aligned decision tree evaluation.</w:t>
      </w:r>
    </w:p>
    <w:p>
      <w:pPr>
        <w:pStyle w:val="Heading2"/>
      </w:pPr>
      <w:r>
        <w:t>5.1 AWS Regional Deployment Guidelines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2E75B6"/>
          </w:tcPr>
          <w:p>
            <w:pPr>
              <w:jc w:val="center"/>
            </w:pPr>
            <w:r>
              <w:rPr>
                <w:rFonts w:ascii="Arial" w:hAnsi="Arial"/>
                <w:b/>
                <w:color w:val="FFFFFF"/>
                <w:sz w:val="20"/>
              </w:rPr>
              <w:t>Region</w:t>
            </w:r>
          </w:p>
        </w:tc>
        <w:tc>
          <w:tcPr>
            <w:tcW w:type="dxa" w:w="2160"/>
            <w:shd w:fill="2E75B6"/>
          </w:tcPr>
          <w:p>
            <w:pPr>
              <w:jc w:val="center"/>
            </w:pPr>
            <w:r>
              <w:rPr>
                <w:rFonts w:ascii="Arial" w:hAnsi="Arial"/>
                <w:b/>
                <w:color w:val="FFFFFF"/>
                <w:sz w:val="20"/>
              </w:rPr>
              <w:t>Primary Use Cases</w:t>
            </w:r>
          </w:p>
        </w:tc>
        <w:tc>
          <w:tcPr>
            <w:tcW w:type="dxa" w:w="2160"/>
            <w:shd w:fill="2E75B6"/>
          </w:tcPr>
          <w:p>
            <w:pPr>
              <w:jc w:val="center"/>
            </w:pPr>
            <w:r>
              <w:rPr>
                <w:rFonts w:ascii="Arial" w:hAnsi="Arial"/>
                <w:b/>
                <w:color w:val="FFFFFF"/>
                <w:sz w:val="20"/>
              </w:rPr>
              <w:t>DORA Advantages</w:t>
            </w:r>
          </w:p>
        </w:tc>
        <w:tc>
          <w:tcPr>
            <w:tcW w:type="dxa" w:w="2160"/>
            <w:shd w:fill="2E75B6"/>
          </w:tcPr>
          <w:p>
            <w:pPr>
              <w:jc w:val="center"/>
            </w:pPr>
            <w:r>
              <w:rPr>
                <w:rFonts w:ascii="Arial" w:hAnsi="Arial"/>
                <w:b/>
                <w:color w:val="FFFFFF"/>
                <w:sz w:val="20"/>
              </w:rPr>
              <w:t>Considerations</w:t>
            </w:r>
          </w:p>
        </w:tc>
      </w:tr>
      <w:tr>
        <w:tc>
          <w:tcPr>
            <w:tcW w:type="dxa" w:w="2160"/>
          </w:tcPr>
          <w:p>
            <w:r>
              <w:t>Virginia</w:t>
              <w:br/>
              <w:t>(us-east-1)</w:t>
            </w:r>
          </w:p>
        </w:tc>
        <w:tc>
          <w:tcPr>
            <w:tcW w:type="dxa" w:w="2160"/>
          </w:tcPr>
          <w:p>
            <w:r>
              <w:t>• Global services</w:t>
              <w:br/>
              <w:t>• Americas applications</w:t>
              <w:br/>
              <w:t>• Dev/test environments</w:t>
            </w:r>
          </w:p>
        </w:tc>
        <w:tc>
          <w:tcPr>
            <w:tcW w:type="dxa" w:w="2160"/>
          </w:tcPr>
          <w:p>
            <w:r>
              <w:t>• Largest region reduces concentration</w:t>
              <w:br/>
              <w:t>• Most services available</w:t>
              <w:br/>
              <w:t>• Strong substitutability options</w:t>
            </w:r>
          </w:p>
        </w:tc>
        <w:tc>
          <w:tcPr>
            <w:tcW w:type="dxa" w:w="2160"/>
          </w:tcPr>
          <w:p>
            <w:r>
              <w:t>• Not GDPR compliant for EU data</w:t>
              <w:br/>
              <w:t>• High latency for EU users</w:t>
              <w:br/>
              <w:t>• Monitor concentration levels</w:t>
            </w:r>
          </w:p>
        </w:tc>
      </w:tr>
      <w:tr>
        <w:tc>
          <w:tcPr>
            <w:tcW w:type="dxa" w:w="2160"/>
          </w:tcPr>
          <w:p>
            <w:r>
              <w:t>Frankfurt</w:t>
              <w:br/>
              <w:t>(eu-central-1)</w:t>
            </w:r>
          </w:p>
        </w:tc>
        <w:tc>
          <w:tcPr>
            <w:tcW w:type="dxa" w:w="2160"/>
          </w:tcPr>
          <w:p>
            <w:r>
              <w:t>• GDPR-compliant workloads</w:t>
              <w:br/>
              <w:t>• Central EU services</w:t>
              <w:br/>
              <w:t>• Critical applications</w:t>
            </w:r>
          </w:p>
        </w:tc>
        <w:tc>
          <w:tcPr>
            <w:tcW w:type="dxa" w:w="2160"/>
          </w:tcPr>
          <w:p>
            <w:r>
              <w:t>• GDPR compliant</w:t>
              <w:br/>
              <w:t>• Excellent connectivity</w:t>
              <w:br/>
              <w:t>• Strong SLAs</w:t>
            </w:r>
          </w:p>
        </w:tc>
        <w:tc>
          <w:tcPr>
            <w:tcW w:type="dxa" w:w="2160"/>
          </w:tcPr>
          <w:p>
            <w:r>
              <w:t>• Monitor for concentration risk</w:t>
              <w:br/>
              <w:t>• Higher pricing tier</w:t>
              <w:br/>
              <w:t>• Ensure exit strategy documented</w:t>
            </w:r>
          </w:p>
        </w:tc>
      </w:tr>
      <w:tr>
        <w:tc>
          <w:tcPr>
            <w:tcW w:type="dxa" w:w="2160"/>
          </w:tcPr>
          <w:p>
            <w:r>
              <w:t>Ireland</w:t>
              <w:br/>
              <w:t>(eu-west-1)</w:t>
            </w:r>
          </w:p>
        </w:tc>
        <w:tc>
          <w:tcPr>
            <w:tcW w:type="dxa" w:w="2160"/>
          </w:tcPr>
          <w:p>
            <w:r>
              <w:t>• Western EU workloads</w:t>
              <w:br/>
              <w:t>• UK/Ireland market</w:t>
              <w:br/>
              <w:t>• DR for Frankfurt</w:t>
            </w:r>
          </w:p>
        </w:tc>
        <w:tc>
          <w:tcPr>
            <w:tcW w:type="dxa" w:w="2160"/>
          </w:tcPr>
          <w:p>
            <w:r>
              <w:t>• Mature region with proven resilience</w:t>
              <w:br/>
              <w:t>• Good for geographic diversification</w:t>
              <w:br/>
              <w:t>• Reduces EU concentration risk</w:t>
            </w:r>
          </w:p>
        </w:tc>
        <w:tc>
          <w:tcPr>
            <w:tcW w:type="dxa" w:w="2160"/>
          </w:tcPr>
          <w:p>
            <w:r>
              <w:t>• Brexit considerations for UK data</w:t>
              <w:br/>
              <w:t>• Moderate latency to Southern EU</w:t>
            </w:r>
          </w:p>
        </w:tc>
      </w:tr>
      <w:tr>
        <w:tc>
          <w:tcPr>
            <w:tcW w:type="dxa" w:w="2160"/>
          </w:tcPr>
          <w:p>
            <w:r>
              <w:t>Spain</w:t>
              <w:br/>
              <w:t>(eu-south-2)</w:t>
            </w:r>
          </w:p>
        </w:tc>
        <w:tc>
          <w:tcPr>
            <w:tcW w:type="dxa" w:w="2160"/>
          </w:tcPr>
          <w:p>
            <w:r>
              <w:t>• Spanish market</w:t>
              <w:br/>
              <w:t>• Southern EU services</w:t>
              <w:br/>
              <w:t>• Geographic diversity</w:t>
            </w:r>
          </w:p>
        </w:tc>
        <w:tc>
          <w:tcPr>
            <w:tcW w:type="dxa" w:w="2160"/>
          </w:tcPr>
          <w:p>
            <w:r>
              <w:t>• Excellent for diversification strategy</w:t>
              <w:br/>
              <w:t>• Reduces concentration in Central EU</w:t>
              <w:br/>
              <w:t>• Local data residency</w:t>
            </w:r>
          </w:p>
        </w:tc>
        <w:tc>
          <w:tcPr>
            <w:tcW w:type="dxa" w:w="2160"/>
          </w:tcPr>
          <w:p>
            <w:r>
              <w:t>• Newer region - verify service availability</w:t>
              <w:br/>
              <w:t>• Test thoroughly before production use</w:t>
            </w:r>
          </w:p>
        </w:tc>
      </w:tr>
    </w:tbl>
    <w:p>
      <w:pPr>
        <w:pStyle w:val="Heading2"/>
      </w:pPr>
      <w:r>
        <w:t>5.2 Azure Regional Deployment Guidelines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2E75B6"/>
          </w:tcPr>
          <w:p>
            <w:pPr>
              <w:jc w:val="center"/>
            </w:pPr>
            <w:r>
              <w:rPr>
                <w:rFonts w:ascii="Arial" w:hAnsi="Arial"/>
                <w:b/>
                <w:color w:val="FFFFFF"/>
                <w:sz w:val="20"/>
              </w:rPr>
              <w:t>Region</w:t>
            </w:r>
          </w:p>
        </w:tc>
        <w:tc>
          <w:tcPr>
            <w:tcW w:type="dxa" w:w="2160"/>
            <w:shd w:fill="2E75B6"/>
          </w:tcPr>
          <w:p>
            <w:pPr>
              <w:jc w:val="center"/>
            </w:pPr>
            <w:r>
              <w:rPr>
                <w:rFonts w:ascii="Arial" w:hAnsi="Arial"/>
                <w:b/>
                <w:color w:val="FFFFFF"/>
                <w:sz w:val="20"/>
              </w:rPr>
              <w:t>Primary Use Cases</w:t>
            </w:r>
          </w:p>
        </w:tc>
        <w:tc>
          <w:tcPr>
            <w:tcW w:type="dxa" w:w="2160"/>
            <w:shd w:fill="2E75B6"/>
          </w:tcPr>
          <w:p>
            <w:pPr>
              <w:jc w:val="center"/>
            </w:pPr>
            <w:r>
              <w:rPr>
                <w:rFonts w:ascii="Arial" w:hAnsi="Arial"/>
                <w:b/>
                <w:color w:val="FFFFFF"/>
                <w:sz w:val="20"/>
              </w:rPr>
              <w:t>DORA Advantages</w:t>
            </w:r>
          </w:p>
        </w:tc>
        <w:tc>
          <w:tcPr>
            <w:tcW w:type="dxa" w:w="2160"/>
            <w:shd w:fill="2E75B6"/>
          </w:tcPr>
          <w:p>
            <w:pPr>
              <w:jc w:val="center"/>
            </w:pPr>
            <w:r>
              <w:rPr>
                <w:rFonts w:ascii="Arial" w:hAnsi="Arial"/>
                <w:b/>
                <w:color w:val="FFFFFF"/>
                <w:sz w:val="20"/>
              </w:rPr>
              <w:t>Considerations</w:t>
            </w:r>
          </w:p>
        </w:tc>
      </w:tr>
      <w:tr>
        <w:tc>
          <w:tcPr>
            <w:tcW w:type="dxa" w:w="2160"/>
          </w:tcPr>
          <w:p>
            <w:r>
              <w:t>Amsterdam</w:t>
              <w:br/>
              <w:t>(West Europe)</w:t>
            </w:r>
          </w:p>
        </w:tc>
        <w:tc>
          <w:tcPr>
            <w:tcW w:type="dxa" w:w="2160"/>
          </w:tcPr>
          <w:p>
            <w:r>
              <w:t>• Primary Azure hub</w:t>
              <w:br/>
              <w:t>• M365 integrations</w:t>
              <w:br/>
              <w:t>• Western EU applications</w:t>
            </w:r>
          </w:p>
        </w:tc>
        <w:tc>
          <w:tcPr>
            <w:tcW w:type="dxa" w:w="2160"/>
          </w:tcPr>
          <w:p>
            <w:r>
              <w:t>• Multi-cloud strategy reduces provider concentration</w:t>
              <w:br/>
              <w:t>• Full service availability</w:t>
              <w:br/>
              <w:t>• Strong Azure resilience features</w:t>
            </w:r>
          </w:p>
        </w:tc>
        <w:tc>
          <w:tcPr>
            <w:tcW w:type="dxa" w:w="2160"/>
          </w:tcPr>
          <w:p>
            <w:r>
              <w:t>• Monitor workload concentration</w:t>
              <w:br/>
              <w:t>• Document exit strategy to AWS/GCP</w:t>
              <w:br/>
              <w:t>• Plan for geographic diversification</w:t>
            </w:r>
          </w:p>
        </w:tc>
      </w:tr>
    </w:tbl>
    <w:p>
      <w:r>
        <w:rPr>
          <w:b/>
        </w:rPr>
        <w:t xml:space="preserve">DORA Compliance Note: </w:t>
      </w:r>
      <w:r>
        <w:t>Azure deployments currently standardized on Amsterdam per executive guidance. To comply with DORA concentration risk requirements, we must: (1) Monitor workload distribution, (2) Document exit strategies to alternative providers, (3) Evaluate additional Azure regions as workload grows.</w:t>
      </w:r>
    </w:p>
    <w:p>
      <w:r>
        <w:br w:type="page"/>
      </w:r>
    </w:p>
    <w:p>
      <w:pPr>
        <w:pStyle w:val="Heading1"/>
      </w:pPr>
      <w:r>
        <w:t>6. DORA-Specific Implementation Requirements</w:t>
      </w:r>
    </w:p>
    <w:p>
      <w:pPr>
        <w:pStyle w:val="Heading2"/>
      </w:pPr>
      <w:r>
        <w:t>6.1 ICT Concentration Risk Assessment (DORA Article 28)</w:t>
      </w:r>
    </w:p>
    <w:p>
      <w:r>
        <w:t>Before deploying any workload, assess concentration risk at multiple levels:</w:t>
      </w:r>
    </w:p>
    <w:p>
      <w:pPr>
        <w:pStyle w:val="ListBullet"/>
      </w:pPr>
      <w:r>
        <w:t>Provider Level: Calculate percentage of critical services on each cloud provider (AWS, Azure, GCP)</w:t>
      </w:r>
    </w:p>
    <w:p>
      <w:pPr>
        <w:pStyle w:val="ListBullet"/>
      </w:pPr>
      <w:r>
        <w:t>Region Level: Calculate percentage of workloads in each geographic region</w:t>
      </w:r>
    </w:p>
    <w:p>
      <w:pPr>
        <w:pStyle w:val="ListBullet"/>
      </w:pPr>
      <w:r>
        <w:t>Service Level: Identify dependencies on specific cloud services (e.g., proprietary databases, AI services)</w:t>
      </w:r>
    </w:p>
    <w:p>
      <w:pPr>
        <w:pStyle w:val="ListBullet"/>
      </w:pPr>
      <w:r>
        <w:t>Third-Party Level: Map all indirect dependencies (CDN, DNS, monitoring tools)</w:t>
      </w:r>
    </w:p>
    <w:p>
      <w:pPr>
        <w:pStyle w:val="ListBullet"/>
      </w:pPr>
      <w:r>
        <w:t>Geographic Level: Assess geopolitical risks and regulatory jurisdiction exposure</w:t>
      </w:r>
    </w:p>
    <w:p/>
    <w:p>
      <w:r>
        <w:rPr>
          <w:b/>
        </w:rPr>
        <w:t xml:space="preserve">DORA Threshold: </w:t>
      </w:r>
      <w:r>
        <w:t>If more than 60% of critical ICT services depend on a single provider, region, or service, immediate diversification is required unless justified by compelling business need and accompanied by robust exit strategy.</w:t>
      </w:r>
    </w:p>
    <w:p>
      <w:pPr>
        <w:pStyle w:val="Heading2"/>
      </w:pPr>
      <w:r>
        <w:t>6.2 Exit Strategy Documentation (DORA Article 28)</w:t>
      </w:r>
    </w:p>
    <w:p>
      <w:r>
        <w:t>For each cloud deployment, document:</w:t>
      </w:r>
    </w:p>
    <w:p>
      <w:pPr>
        <w:pStyle w:val="ListBullet"/>
      </w:pPr>
      <w:r>
        <w:t>Alternative Providers: Identify 2+ providers capable of hosting the workload</w:t>
      </w:r>
    </w:p>
    <w:p>
      <w:pPr>
        <w:pStyle w:val="ListBullet"/>
      </w:pPr>
      <w:r>
        <w:t>Migration Complexity: Assess technical effort required (Low/Medium/High)</w:t>
      </w:r>
    </w:p>
    <w:p>
      <w:pPr>
        <w:pStyle w:val="ListBullet"/>
      </w:pPr>
      <w:r>
        <w:t>Data Portability: Document data export mechanisms and formats</w:t>
      </w:r>
    </w:p>
    <w:p>
      <w:pPr>
        <w:pStyle w:val="ListBullet"/>
      </w:pPr>
      <w:r>
        <w:t>Vendor Lock-in Risks: Identify proprietary services that impede portability</w:t>
      </w:r>
    </w:p>
    <w:p>
      <w:pPr>
        <w:pStyle w:val="ListBullet"/>
      </w:pPr>
      <w:r>
        <w:t>Transition Timeline: Estimate time required for provider migration</w:t>
      </w:r>
    </w:p>
    <w:p>
      <w:pPr>
        <w:pStyle w:val="ListBullet"/>
      </w:pPr>
      <w:r>
        <w:t>Testing Schedule: Test exit procedures annually per DORA Article 25</w:t>
      </w:r>
    </w:p>
    <w:p>
      <w:pPr>
        <w:pStyle w:val="ListBullet"/>
      </w:pPr>
      <w:r>
        <w:t>Cost Impact: Estimate financial impact of provider transition</w:t>
      </w:r>
    </w:p>
    <w:p>
      <w:pPr>
        <w:pStyle w:val="Heading2"/>
      </w:pPr>
      <w:r>
        <w:t>6.3 Third-Party ICT Risk Management (DORA Article 30)</w:t>
      </w:r>
    </w:p>
    <w:tbl>
      <w:tblPr>
        <w:tblStyle w:val="LightGrid-Accent1"/>
        <w:tblW w:type="auto" w:w="0"/>
        <w:tblLook w:firstColumn="1" w:firstRow="1" w:lastColumn="0" w:lastRow="0" w:noHBand="0" w:noVBand="1" w:val="04A0"/>
      </w:tblPr>
      <w:tblGrid>
        <w:gridCol w:w="2880"/>
        <w:gridCol w:w="2880"/>
        <w:gridCol w:w="2880"/>
      </w:tblGrid>
      <w:tr>
        <w:tc>
          <w:tcPr>
            <w:tcW w:type="dxa" w:w="2880"/>
            <w:shd w:fill="2E75B6"/>
          </w:tcPr>
          <w:p>
            <w:pPr>
              <w:jc w:val="center"/>
            </w:pPr>
            <w:r>
              <w:rPr>
                <w:rFonts w:ascii="Arial" w:hAnsi="Arial"/>
                <w:b/>
                <w:color w:val="FFFFFF"/>
                <w:sz w:val="20"/>
              </w:rPr>
              <w:t>Provider</w:t>
            </w:r>
          </w:p>
        </w:tc>
        <w:tc>
          <w:tcPr>
            <w:tcW w:type="dxa" w:w="2880"/>
            <w:shd w:fill="2E75B6"/>
          </w:tcPr>
          <w:p>
            <w:pPr>
              <w:jc w:val="center"/>
            </w:pPr>
            <w:r>
              <w:rPr>
                <w:rFonts w:ascii="Arial" w:hAnsi="Arial"/>
                <w:b/>
                <w:color w:val="FFFFFF"/>
                <w:sz w:val="20"/>
              </w:rPr>
              <w:t>Critical Services</w:t>
            </w:r>
          </w:p>
        </w:tc>
        <w:tc>
          <w:tcPr>
            <w:tcW w:type="dxa" w:w="2880"/>
            <w:shd w:fill="2E75B6"/>
          </w:tcPr>
          <w:p>
            <w:pPr>
              <w:jc w:val="center"/>
            </w:pPr>
            <w:r>
              <w:rPr>
                <w:rFonts w:ascii="Arial" w:hAnsi="Arial"/>
                <w:b/>
                <w:color w:val="FFFFFF"/>
                <w:sz w:val="20"/>
              </w:rPr>
              <w:t>Risk Mitigation</w:t>
            </w:r>
          </w:p>
        </w:tc>
      </w:tr>
      <w:tr>
        <w:tc>
          <w:tcPr>
            <w:tcW w:type="dxa" w:w="2880"/>
          </w:tcPr>
          <w:p>
            <w:r>
              <w:t>AWS</w:t>
            </w:r>
          </w:p>
        </w:tc>
        <w:tc>
          <w:tcPr>
            <w:tcW w:type="dxa" w:w="2880"/>
          </w:tcPr>
          <w:p>
            <w:r>
              <w:t>Compute, storage, databases, networking</w:t>
            </w:r>
          </w:p>
        </w:tc>
        <w:tc>
          <w:tcPr>
            <w:tcW w:type="dxa" w:w="2880"/>
          </w:tcPr>
          <w:p>
            <w:r>
              <w:t>Multi-region deployment, Azure backup strategy, documented exit plan</w:t>
            </w:r>
          </w:p>
        </w:tc>
      </w:tr>
      <w:tr>
        <w:tc>
          <w:tcPr>
            <w:tcW w:type="dxa" w:w="2880"/>
          </w:tcPr>
          <w:p>
            <w:r>
              <w:t>Azure</w:t>
            </w:r>
          </w:p>
        </w:tc>
        <w:tc>
          <w:tcPr>
            <w:tcW w:type="dxa" w:w="2880"/>
          </w:tcPr>
          <w:p>
            <w:r>
              <w:t>M365 integration, Azure AD, selected workloads</w:t>
            </w:r>
          </w:p>
        </w:tc>
        <w:tc>
          <w:tcPr>
            <w:tcW w:type="dxa" w:w="2880"/>
          </w:tcPr>
          <w:p>
            <w:r>
              <w:t>AWS alternative documented, geographic diversity within Azure</w:t>
            </w:r>
          </w:p>
        </w:tc>
      </w:tr>
      <w:tr>
        <w:tc>
          <w:tcPr>
            <w:tcW w:type="dxa" w:w="2880"/>
          </w:tcPr>
          <w:p>
            <w:r>
              <w:t>GCP</w:t>
            </w:r>
          </w:p>
        </w:tc>
        <w:tc>
          <w:tcPr>
            <w:tcW w:type="dxa" w:w="2880"/>
          </w:tcPr>
          <w:p>
            <w:r>
              <w:t>Selected services and components</w:t>
            </w:r>
          </w:p>
        </w:tc>
        <w:tc>
          <w:tcPr>
            <w:tcW w:type="dxa" w:w="2880"/>
          </w:tcPr>
          <w:p>
            <w:r>
              <w:t>AWS/Azure alternatives available, limited dependency</w:t>
            </w:r>
          </w:p>
        </w:tc>
      </w:tr>
      <w:tr>
        <w:tc>
          <w:tcPr>
            <w:tcW w:type="dxa" w:w="2880"/>
          </w:tcPr>
          <w:p>
            <w:r>
              <w:t>Critical ICT TPPs</w:t>
            </w:r>
          </w:p>
        </w:tc>
        <w:tc>
          <w:tcPr>
            <w:tcW w:type="dxa" w:w="2880"/>
          </w:tcPr>
          <w:p>
            <w:r>
              <w:t>CDN, DNS, monitoring, security services</w:t>
            </w:r>
          </w:p>
        </w:tc>
        <w:tc>
          <w:tcPr>
            <w:tcW w:type="dxa" w:w="2880"/>
          </w:tcPr>
          <w:p>
            <w:r>
              <w:t>Maintain alternative provider relationships, test failover quarterly</w:t>
            </w:r>
          </w:p>
        </w:tc>
      </w:tr>
    </w:tbl>
    <w:p>
      <w:r>
        <w:br w:type="page"/>
      </w:r>
    </w:p>
    <w:p>
      <w:pPr>
        <w:pStyle w:val="Heading1"/>
      </w:pPr>
      <w:r>
        <w:t>7. ICT Risk Assessment and Mitigation</w:t>
      </w:r>
    </w:p>
    <w:p>
      <w:pPr>
        <w:pStyle w:val="Heading2"/>
      </w:pPr>
      <w:r>
        <w:t>7.1 DORA-Aligned ICT Concentration Risk Matrix</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2E75B6"/>
          </w:tcPr>
          <w:p>
            <w:pPr>
              <w:jc w:val="center"/>
            </w:pPr>
            <w:r>
              <w:rPr>
                <w:rFonts w:ascii="Arial" w:hAnsi="Arial"/>
                <w:b/>
                <w:color w:val="FFFFFF"/>
                <w:sz w:val="20"/>
              </w:rPr>
              <w:t>Risk Level</w:t>
            </w:r>
          </w:p>
        </w:tc>
        <w:tc>
          <w:tcPr>
            <w:tcW w:type="dxa" w:w="2160"/>
            <w:shd w:fill="2E75B6"/>
          </w:tcPr>
          <w:p>
            <w:pPr>
              <w:jc w:val="center"/>
            </w:pPr>
            <w:r>
              <w:rPr>
                <w:rFonts w:ascii="Arial" w:hAnsi="Arial"/>
                <w:b/>
                <w:color w:val="FFFFFF"/>
                <w:sz w:val="20"/>
              </w:rPr>
              <w:t>Concentration</w:t>
            </w:r>
          </w:p>
        </w:tc>
        <w:tc>
          <w:tcPr>
            <w:tcW w:type="dxa" w:w="2160"/>
            <w:shd w:fill="2E75B6"/>
          </w:tcPr>
          <w:p>
            <w:pPr>
              <w:jc w:val="center"/>
            </w:pPr>
            <w:r>
              <w:rPr>
                <w:rFonts w:ascii="Arial" w:hAnsi="Arial"/>
                <w:b/>
                <w:color w:val="FFFFFF"/>
                <w:sz w:val="20"/>
              </w:rPr>
              <w:t>DORA Impact</w:t>
            </w:r>
          </w:p>
        </w:tc>
        <w:tc>
          <w:tcPr>
            <w:tcW w:type="dxa" w:w="2160"/>
            <w:shd w:fill="2E75B6"/>
          </w:tcPr>
          <w:p>
            <w:pPr>
              <w:jc w:val="center"/>
            </w:pPr>
            <w:r>
              <w:rPr>
                <w:rFonts w:ascii="Arial" w:hAnsi="Arial"/>
                <w:b/>
                <w:color w:val="FFFFFF"/>
                <w:sz w:val="20"/>
              </w:rPr>
              <w:t>Required Actions</w:t>
            </w:r>
          </w:p>
        </w:tc>
      </w:tr>
      <w:tr>
        <w:tc>
          <w:tcPr>
            <w:tcW w:type="dxa" w:w="2160"/>
          </w:tcPr>
          <w:p>
            <w:r>
              <w:t>CRITICAL</w:t>
            </w:r>
          </w:p>
        </w:tc>
        <w:tc>
          <w:tcPr>
            <w:tcW w:type="dxa" w:w="2160"/>
          </w:tcPr>
          <w:p>
            <w:r>
              <w:t>&gt; 80% on single provider/region</w:t>
            </w:r>
          </w:p>
        </w:tc>
        <w:tc>
          <w:tcPr>
            <w:tcW w:type="dxa" w:w="2160"/>
          </w:tcPr>
          <w:p>
            <w:r>
              <w:t>DORA non-compliance</w:t>
              <w:br/>
              <w:t>Severe resilience risk</w:t>
            </w:r>
          </w:p>
        </w:tc>
        <w:tc>
          <w:tcPr>
            <w:tcW w:type="dxa" w:w="2160"/>
          </w:tcPr>
          <w:p>
            <w:r>
              <w:t>• Immediate diversification required</w:t>
              <w:br/>
              <w:t>• Executive escalation</w:t>
              <w:br/>
              <w:t>• Regulatory reporting</w:t>
              <w:br/>
              <w:t>• Block new deployments</w:t>
            </w:r>
          </w:p>
        </w:tc>
      </w:tr>
      <w:tr>
        <w:tc>
          <w:tcPr>
            <w:tcW w:type="dxa" w:w="2160"/>
          </w:tcPr>
          <w:p>
            <w:r>
              <w:t>HIGH</w:t>
            </w:r>
          </w:p>
        </w:tc>
        <w:tc>
          <w:tcPr>
            <w:tcW w:type="dxa" w:w="2160"/>
          </w:tcPr>
          <w:p>
            <w:r>
              <w:t>60-80% concentration</w:t>
            </w:r>
          </w:p>
        </w:tc>
        <w:tc>
          <w:tcPr>
            <w:tcW w:type="dxa" w:w="2160"/>
          </w:tcPr>
          <w:p>
            <w:r>
              <w:t>DORA compliance at risk</w:t>
              <w:br/>
              <w:t>Significant operational risk</w:t>
            </w:r>
          </w:p>
        </w:tc>
        <w:tc>
          <w:tcPr>
            <w:tcW w:type="dxa" w:w="2160"/>
          </w:tcPr>
          <w:p>
            <w:r>
              <w:t>• Develop rebalancing plan</w:t>
              <w:br/>
              <w:t>• Document exit strategy</w:t>
              <w:br/>
              <w:t>• Enhanced monitoring</w:t>
              <w:br/>
              <w:t>• Quarterly executive review</w:t>
            </w:r>
          </w:p>
        </w:tc>
      </w:tr>
      <w:tr>
        <w:tc>
          <w:tcPr>
            <w:tcW w:type="dxa" w:w="2160"/>
          </w:tcPr>
          <w:p>
            <w:r>
              <w:t>MODERATE</w:t>
            </w:r>
          </w:p>
        </w:tc>
        <w:tc>
          <w:tcPr>
            <w:tcW w:type="dxa" w:w="2160"/>
          </w:tcPr>
          <w:p>
            <w:r>
              <w:t>40-60% concentration</w:t>
            </w:r>
          </w:p>
        </w:tc>
        <w:tc>
          <w:tcPr>
            <w:tcW w:type="dxa" w:w="2160"/>
          </w:tcPr>
          <w:p>
            <w:r>
              <w:t>Acceptable with controls</w:t>
              <w:br/>
              <w:t>Requires monitoring</w:t>
            </w:r>
          </w:p>
        </w:tc>
        <w:tc>
          <w:tcPr>
            <w:tcW w:type="dxa" w:w="2160"/>
          </w:tcPr>
          <w:p>
            <w:r>
              <w:t>• Monthly concentration monitoring</w:t>
              <w:br/>
              <w:t>• Documented exit strategy</w:t>
              <w:br/>
              <w:t>• Semi-annual DR testing</w:t>
              <w:br/>
              <w:t>• Prioritize diversification</w:t>
            </w:r>
          </w:p>
        </w:tc>
      </w:tr>
      <w:tr>
        <w:tc>
          <w:tcPr>
            <w:tcW w:type="dxa" w:w="2160"/>
          </w:tcPr>
          <w:p>
            <w:r>
              <w:t>LOW</w:t>
            </w:r>
          </w:p>
        </w:tc>
        <w:tc>
          <w:tcPr>
            <w:tcW w:type="dxa" w:w="2160"/>
          </w:tcPr>
          <w:p>
            <w:r>
              <w:t>&lt; 40% concentration</w:t>
            </w:r>
          </w:p>
        </w:tc>
        <w:tc>
          <w:tcPr>
            <w:tcW w:type="dxa" w:w="2160"/>
          </w:tcPr>
          <w:p>
            <w:r>
              <w:t>DORA compliant</w:t>
              <w:br/>
              <w:t>Well-distributed</w:t>
            </w:r>
          </w:p>
        </w:tc>
        <w:tc>
          <w:tcPr>
            <w:tcW w:type="dxa" w:w="2160"/>
          </w:tcPr>
          <w:p>
            <w:r>
              <w:t>• Maintain distribution</w:t>
              <w:br/>
              <w:t>• Annual exit strategy review</w:t>
              <w:br/>
              <w:t>• Standard monitoring</w:t>
              <w:br/>
              <w:t>• Annual DR testing</w:t>
            </w:r>
          </w:p>
        </w:tc>
      </w:tr>
    </w:tbl>
    <w:p>
      <w:pPr>
        <w:pStyle w:val="Heading2"/>
      </w:pPr>
      <w:r>
        <w:t>7.2 Operational Resilience Scenarios</w:t>
      </w:r>
    </w:p>
    <w:p>
      <w:pPr>
        <w:pStyle w:val="Heading3"/>
      </w:pPr>
      <w:r>
        <w:t>Provider-Level Disruption</w:t>
      </w:r>
    </w:p>
    <w:p>
      <w:r>
        <w:rPr>
          <w:b/>
        </w:rPr>
        <w:t xml:space="preserve">Risk: </w:t>
      </w:r>
      <w:r>
        <w:t>Complete outage of a cloud provider affecting all regions</w:t>
        <w:br/>
      </w:r>
      <w:r>
        <w:rPr>
          <w:b/>
        </w:rPr>
        <w:t xml:space="preserve">DORA Requirement: </w:t>
      </w:r>
      <w:r>
        <w:t>Article 28 - ICT concentration risk prevention</w:t>
        <w:br/>
      </w:r>
      <w:r>
        <w:rPr>
          <w:b/>
        </w:rPr>
        <w:t xml:space="preserve">Mitigation: </w:t>
      </w:r>
      <w:r>
        <w:t>Multi-cloud strategy with critical workloads on AWS and Azure. Tier 1 applications must have active failover capability between providers. Test provider failover semi-annually.</w:t>
      </w:r>
    </w:p>
    <w:p>
      <w:pPr>
        <w:pStyle w:val="Heading3"/>
      </w:pPr>
      <w:r>
        <w:t>Regional Disruption</w:t>
      </w:r>
    </w:p>
    <w:p>
      <w:r>
        <w:rPr>
          <w:b/>
        </w:rPr>
        <w:t xml:space="preserve">Risk: </w:t>
      </w:r>
      <w:r>
        <w:t>Localized outage affecting single region or availability zone</w:t>
        <w:br/>
      </w:r>
      <w:r>
        <w:rPr>
          <w:b/>
        </w:rPr>
        <w:t xml:space="preserve">DORA Requirement: </w:t>
      </w:r>
      <w:r>
        <w:t>Article 6 - ICT risk management framework</w:t>
        <w:br/>
      </w:r>
      <w:r>
        <w:rPr>
          <w:b/>
        </w:rPr>
        <w:t xml:space="preserve">Mitigation: </w:t>
      </w:r>
      <w:r>
        <w:t>Multi-AZ deployments for Tier 1/2 workloads. Cross-region replication and automated failover. Test regional failover quarterly.</w:t>
      </w:r>
    </w:p>
    <w:p>
      <w:pPr>
        <w:pStyle w:val="Heading3"/>
      </w:pPr>
      <w:r>
        <w:t>Third-Party Service Disruption</w:t>
      </w:r>
    </w:p>
    <w:p>
      <w:r>
        <w:rPr>
          <w:b/>
        </w:rPr>
        <w:t xml:space="preserve">Risk: </w:t>
      </w:r>
      <w:r>
        <w:t>Failure of critical third-party ICT service provider (CDN, DNS, monitoring)</w:t>
        <w:br/>
      </w:r>
      <w:r>
        <w:rPr>
          <w:b/>
        </w:rPr>
        <w:t xml:space="preserve">DORA Requirement: </w:t>
      </w:r>
      <w:r>
        <w:t>Article 30 - Third-party risk management</w:t>
        <w:br/>
      </w:r>
      <w:r>
        <w:rPr>
          <w:b/>
        </w:rPr>
        <w:t xml:space="preserve">Mitigation: </w:t>
      </w:r>
      <w:r>
        <w:t>Maintain contracts with alternative providers. Document and test failover procedures. Monitor third-party SLAs and incident history.</w:t>
      </w:r>
    </w:p>
    <w:p>
      <w:r>
        <w:br w:type="page"/>
      </w:r>
    </w:p>
    <w:p>
      <w:pPr>
        <w:pStyle w:val="Heading1"/>
      </w:pPr>
      <w:r>
        <w:t>8. DORA-Compliant Implementation Process</w:t>
      </w:r>
    </w:p>
    <w:p>
      <w:pPr>
        <w:pStyle w:val="Heading2"/>
      </w:pPr>
      <w:r>
        <w:t>8.1 Pre-Deployment ICT Risk Assessment</w:t>
      </w:r>
    </w:p>
    <w:p>
      <w:r>
        <w:t>Before deploying, migrating, or moving any ICT workload to a cloud region, complete this DORA-mandated assessment:</w:t>
      </w:r>
    </w:p>
    <w:p>
      <w:pPr>
        <w:pStyle w:val="ListNumber"/>
      </w:pPr>
      <w:r>
        <w:t xml:space="preserve">1. </w:t>
      </w:r>
      <w:r>
        <w:rPr>
          <w:b/>
        </w:rPr>
        <w:t xml:space="preserve">ICT Concentration Risk Analysis: </w:t>
      </w:r>
      <w:r>
        <w:t>Calculate current concentration levels across providers, regions, and services. Assess impact of proposed deployment.</w:t>
      </w:r>
    </w:p>
    <w:p>
      <w:pPr>
        <w:pStyle w:val="ListNumber"/>
      </w:pPr>
      <w:r>
        <w:t xml:space="preserve">2. </w:t>
      </w:r>
      <w:r>
        <w:rPr>
          <w:b/>
        </w:rPr>
        <w:t xml:space="preserve">Decision Tree Evaluation: </w:t>
      </w:r>
      <w:r>
        <w:t>Work through all six decision points, recording responses and justifications.</w:t>
      </w:r>
    </w:p>
    <w:p>
      <w:pPr>
        <w:pStyle w:val="ListNumber"/>
      </w:pPr>
      <w:r>
        <w:t xml:space="preserve">3. </w:t>
      </w:r>
      <w:r>
        <w:rPr>
          <w:b/>
        </w:rPr>
        <w:t xml:space="preserve">Exit Strategy Documentation: </w:t>
      </w:r>
      <w:r>
        <w:t>Document alternative providers/regions and migration approach per DORA Article 28.</w:t>
      </w:r>
    </w:p>
    <w:p>
      <w:pPr>
        <w:pStyle w:val="ListNumber"/>
      </w:pPr>
      <w:r>
        <w:t xml:space="preserve">4. </w:t>
      </w:r>
      <w:r>
        <w:rPr>
          <w:b/>
        </w:rPr>
        <w:t xml:space="preserve">Third-Party Risk Assessment: </w:t>
      </w:r>
      <w:r>
        <w:t>Evaluate cloud provider and indirect dependencies per DORA Article 30.</w:t>
      </w:r>
    </w:p>
    <w:p>
      <w:pPr>
        <w:pStyle w:val="ListNumber"/>
      </w:pPr>
      <w:r>
        <w:t xml:space="preserve">5. </w:t>
      </w:r>
      <w:r>
        <w:rPr>
          <w:b/>
        </w:rPr>
        <w:t xml:space="preserve">Resilience Requirements Validation: </w:t>
      </w:r>
      <w:r>
        <w:t>Confirm RTO/RPO requirements and disaster recovery capabilities.</w:t>
      </w:r>
    </w:p>
    <w:p>
      <w:pPr>
        <w:pStyle w:val="ListNumber"/>
      </w:pPr>
      <w:r>
        <w:t xml:space="preserve">6. </w:t>
      </w:r>
      <w:r>
        <w:rPr>
          <w:b/>
        </w:rPr>
        <w:t xml:space="preserve">Regulatory Compliance Check: </w:t>
      </w:r>
      <w:r>
        <w:t>Verify GDPR, data sovereignty, and DORA compliance.</w:t>
      </w:r>
    </w:p>
    <w:p>
      <w:pPr>
        <w:pStyle w:val="ListNumber"/>
      </w:pPr>
      <w:r>
        <w:t xml:space="preserve">7. </w:t>
      </w:r>
      <w:r>
        <w:rPr>
          <w:b/>
        </w:rPr>
        <w:t xml:space="preserve">Testing Plan: </w:t>
      </w:r>
      <w:r>
        <w:t>Define testing schedule per DORA Articles 24-25 (incident response, DR, resilience).</w:t>
      </w:r>
    </w:p>
    <w:p>
      <w:pPr>
        <w:pStyle w:val="ListNumber"/>
      </w:pPr>
      <w:r>
        <w:t xml:space="preserve">8. </w:t>
      </w:r>
      <w:r>
        <w:rPr>
          <w:b/>
        </w:rPr>
        <w:t xml:space="preserve">Approval Process: </w:t>
      </w:r>
      <w:r>
        <w:t>Submit assessment for review per governance framework (Section 8.2).</w:t>
      </w:r>
    </w:p>
    <w:p>
      <w:pPr>
        <w:pStyle w:val="Heading2"/>
      </w:pPr>
      <w:r>
        <w:t>8.2 DORA-Aligned Governance Framework</w:t>
      </w:r>
    </w:p>
    <w:tbl>
      <w:tblPr>
        <w:tblStyle w:val="LightGrid-Accent1"/>
        <w:tblW w:type="auto" w:w="0"/>
        <w:tblLook w:firstColumn="1" w:firstRow="1" w:lastColumn="0" w:lastRow="0" w:noHBand="0" w:noVBand="1" w:val="04A0"/>
      </w:tblPr>
      <w:tblGrid>
        <w:gridCol w:w="2880"/>
        <w:gridCol w:w="2880"/>
        <w:gridCol w:w="2880"/>
      </w:tblGrid>
      <w:tr>
        <w:tc>
          <w:tcPr>
            <w:tcW w:type="dxa" w:w="2880"/>
            <w:shd w:fill="2E75B6"/>
          </w:tcPr>
          <w:p>
            <w:pPr>
              <w:jc w:val="center"/>
            </w:pPr>
            <w:r>
              <w:rPr>
                <w:rFonts w:ascii="Arial" w:hAnsi="Arial"/>
                <w:b/>
                <w:color w:val="FFFFFF"/>
                <w:sz w:val="20"/>
              </w:rPr>
              <w:t>Workload Tier</w:t>
            </w:r>
          </w:p>
        </w:tc>
        <w:tc>
          <w:tcPr>
            <w:tcW w:type="dxa" w:w="2880"/>
            <w:shd w:fill="2E75B6"/>
          </w:tcPr>
          <w:p>
            <w:pPr>
              <w:jc w:val="center"/>
            </w:pPr>
            <w:r>
              <w:rPr>
                <w:rFonts w:ascii="Arial" w:hAnsi="Arial"/>
                <w:b/>
                <w:color w:val="FFFFFF"/>
                <w:sz w:val="20"/>
              </w:rPr>
              <w:t>Approval Authority</w:t>
            </w:r>
          </w:p>
        </w:tc>
        <w:tc>
          <w:tcPr>
            <w:tcW w:type="dxa" w:w="2880"/>
            <w:shd w:fill="2E75B6"/>
          </w:tcPr>
          <w:p>
            <w:pPr>
              <w:jc w:val="center"/>
            </w:pPr>
            <w:r>
              <w:rPr>
                <w:rFonts w:ascii="Arial" w:hAnsi="Arial"/>
                <w:b/>
                <w:color w:val="FFFFFF"/>
                <w:sz w:val="20"/>
              </w:rPr>
              <w:t>DORA Requirements</w:t>
            </w:r>
          </w:p>
        </w:tc>
      </w:tr>
      <w:tr>
        <w:tc>
          <w:tcPr>
            <w:tcW w:type="dxa" w:w="2880"/>
          </w:tcPr>
          <w:p>
            <w:r>
              <w:t>TIER 1</w:t>
              <w:br/>
              <w:t>(Critical)</w:t>
            </w:r>
          </w:p>
        </w:tc>
        <w:tc>
          <w:tcPr>
            <w:tcW w:type="dxa" w:w="2880"/>
          </w:tcPr>
          <w:p>
            <w:r>
              <w:t>CTO / VP Infrastructure</w:t>
              <w:br/>
              <w:t>+ DORA Compliance Officer</w:t>
            </w:r>
          </w:p>
        </w:tc>
        <w:tc>
          <w:tcPr>
            <w:tcW w:type="dxa" w:w="2880"/>
          </w:tcPr>
          <w:p>
            <w:r>
              <w:t>• Full ICT risk assessment</w:t>
              <w:br/>
              <w:t>• Concentration risk analysis</w:t>
              <w:br/>
              <w:t>• Documented exit strategy</w:t>
              <w:br/>
              <w:t>• Third-party risk evaluation</w:t>
              <w:br/>
              <w:t>• Quarterly resilience testing</w:t>
            </w:r>
          </w:p>
        </w:tc>
      </w:tr>
      <w:tr>
        <w:tc>
          <w:tcPr>
            <w:tcW w:type="dxa" w:w="2880"/>
          </w:tcPr>
          <w:p>
            <w:r>
              <w:t>TIER 2</w:t>
              <w:br/>
              <w:t>(High)</w:t>
            </w:r>
          </w:p>
        </w:tc>
        <w:tc>
          <w:tcPr>
            <w:tcW w:type="dxa" w:w="2880"/>
          </w:tcPr>
          <w:p>
            <w:r>
              <w:t>Director Cloud Operations</w:t>
            </w:r>
          </w:p>
        </w:tc>
        <w:tc>
          <w:tcPr>
            <w:tcW w:type="dxa" w:w="2880"/>
          </w:tcPr>
          <w:p>
            <w:r>
              <w:t>• Decision tree assessment</w:t>
              <w:br/>
              <w:t>• Concentration analysis</w:t>
              <w:br/>
              <w:t>• Exit strategy outline</w:t>
              <w:br/>
              <w:t>• Semi-annual DR testing</w:t>
              <w:br/>
              <w:t>• Provider SLA validation</w:t>
            </w:r>
          </w:p>
        </w:tc>
      </w:tr>
      <w:tr>
        <w:tc>
          <w:tcPr>
            <w:tcW w:type="dxa" w:w="2880"/>
          </w:tcPr>
          <w:p>
            <w:r>
              <w:t>TIER 3</w:t>
              <w:br/>
              <w:t>(Standard)</w:t>
            </w:r>
          </w:p>
        </w:tc>
        <w:tc>
          <w:tcPr>
            <w:tcW w:type="dxa" w:w="2880"/>
          </w:tcPr>
          <w:p>
            <w:r>
              <w:t>Senior Cloud Architect</w:t>
            </w:r>
          </w:p>
        </w:tc>
        <w:tc>
          <w:tcPr>
            <w:tcW w:type="dxa" w:w="2880"/>
          </w:tcPr>
          <w:p>
            <w:r>
              <w:t>• Simplified assessment</w:t>
              <w:br/>
              <w:t>• Basic concentration check</w:t>
              <w:br/>
              <w:t>• Exit strategy identification</w:t>
              <w:br/>
              <w:t>• Annual resilience testing</w:t>
              <w:br/>
              <w:t>• Cost justification if needed</w:t>
            </w:r>
          </w:p>
        </w:tc>
      </w:tr>
    </w:tbl>
    <w:p>
      <w:pPr>
        <w:pStyle w:val="Heading2"/>
      </w:pPr>
      <w:r>
        <w:t>8.3 DORA Documentation Requirements</w:t>
      </w:r>
    </w:p>
    <w:p>
      <w:r>
        <w:t>All deployment decisions must be documented in the ICT Risk Register and Cloud Deployment Registry per DORA Article 6 requirements:</w:t>
      </w:r>
    </w:p>
    <w:p>
      <w:pPr>
        <w:pStyle w:val="ListBullet"/>
      </w:pPr>
      <w:r>
        <w:t>Application/workload name and business owner</w:t>
      </w:r>
    </w:p>
    <w:p>
      <w:pPr>
        <w:pStyle w:val="ListBullet"/>
      </w:pPr>
      <w:r>
        <w:t>Selected cloud provider and region(s)</w:t>
      </w:r>
    </w:p>
    <w:p>
      <w:pPr>
        <w:pStyle w:val="ListBullet"/>
      </w:pPr>
      <w:r>
        <w:t>Business criticality tier (1, 2, or 3)</w:t>
      </w:r>
    </w:p>
    <w:p>
      <w:pPr>
        <w:pStyle w:val="ListBullet"/>
      </w:pPr>
      <w:r>
        <w:t>ICT concentration risk assessment results</w:t>
      </w:r>
    </w:p>
    <w:p>
      <w:pPr>
        <w:pStyle w:val="ListBullet"/>
      </w:pPr>
      <w:r>
        <w:t>Current concentration levels (provider, region, service)</w:t>
      </w:r>
    </w:p>
    <w:p>
      <w:pPr>
        <w:pStyle w:val="ListBullet"/>
      </w:pPr>
      <w:r>
        <w:t>Exit strategy documentation and alternative providers</w:t>
      </w:r>
    </w:p>
    <w:p>
      <w:pPr>
        <w:pStyle w:val="ListBullet"/>
      </w:pPr>
      <w:r>
        <w:t>Third-party dependencies and risk mitigation</w:t>
      </w:r>
    </w:p>
    <w:p>
      <w:pPr>
        <w:pStyle w:val="ListBullet"/>
      </w:pPr>
      <w:r>
        <w:t>Data sovereignty and GDPR compliance status</w:t>
      </w:r>
    </w:p>
    <w:p>
      <w:pPr>
        <w:pStyle w:val="ListBullet"/>
      </w:pPr>
      <w:r>
        <w:t>RTO/RPO requirements and DR strategy</w:t>
      </w:r>
    </w:p>
    <w:p>
      <w:pPr>
        <w:pStyle w:val="ListBullet"/>
      </w:pPr>
      <w:r>
        <w:t>Testing schedule and validation results</w:t>
      </w:r>
    </w:p>
    <w:p>
      <w:pPr>
        <w:pStyle w:val="ListBullet"/>
      </w:pPr>
      <w:r>
        <w:t>Approval authority and date</w:t>
      </w:r>
    </w:p>
    <w:p>
      <w:pPr>
        <w:pStyle w:val="ListBullet"/>
      </w:pPr>
      <w:r>
        <w:t>Estimated monthly cost</w:t>
      </w:r>
    </w:p>
    <w:p>
      <w:pPr>
        <w:pStyle w:val="ListBullet"/>
      </w:pPr>
      <w:r>
        <w:t>DORA compliance attestation</w:t>
      </w:r>
    </w:p>
    <w:p>
      <w:pPr>
        <w:pStyle w:val="ListBullet"/>
      </w:pPr>
      <w:r>
        <w:t>Next review date (annual minimum)</w:t>
      </w:r>
    </w:p>
    <w:p>
      <w:r>
        <w:br w:type="page"/>
      </w:r>
    </w:p>
    <w:p>
      <w:pPr>
        <w:pStyle w:val="Heading1"/>
      </w:pPr>
      <w:r>
        <w:t>9. DORA Testing and Validation Requirements</w:t>
      </w:r>
    </w:p>
    <w:p>
      <w:pPr>
        <w:pStyle w:val="Heading2"/>
      </w:pPr>
      <w:r>
        <w:t>9.1 Resilience Testing Program (DORA Articles 24-25)</w:t>
      </w:r>
    </w:p>
    <w:p>
      <w:r>
        <w:t>DORA mandates regular testing of ICT systems and resilience capabilities: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2E75B6"/>
          </w:tcPr>
          <w:p>
            <w:pPr>
              <w:jc w:val="center"/>
            </w:pPr>
            <w:r>
              <w:rPr>
                <w:rFonts w:ascii="Arial" w:hAnsi="Arial"/>
                <w:b/>
                <w:color w:val="FFFFFF"/>
                <w:sz w:val="20"/>
              </w:rPr>
              <w:t>Test Type</w:t>
            </w:r>
          </w:p>
        </w:tc>
        <w:tc>
          <w:tcPr>
            <w:tcW w:type="dxa" w:w="2160"/>
            <w:shd w:fill="2E75B6"/>
          </w:tcPr>
          <w:p>
            <w:pPr>
              <w:jc w:val="center"/>
            </w:pPr>
            <w:r>
              <w:rPr>
                <w:rFonts w:ascii="Arial" w:hAnsi="Arial"/>
                <w:b/>
                <w:color w:val="FFFFFF"/>
                <w:sz w:val="20"/>
              </w:rPr>
              <w:t>Frequency</w:t>
            </w:r>
          </w:p>
        </w:tc>
        <w:tc>
          <w:tcPr>
            <w:tcW w:type="dxa" w:w="2160"/>
            <w:shd w:fill="2E75B6"/>
          </w:tcPr>
          <w:p>
            <w:pPr>
              <w:jc w:val="center"/>
            </w:pPr>
            <w:r>
              <w:rPr>
                <w:rFonts w:ascii="Arial" w:hAnsi="Arial"/>
                <w:b/>
                <w:color w:val="FFFFFF"/>
                <w:sz w:val="20"/>
              </w:rPr>
              <w:t>Scope</w:t>
            </w:r>
          </w:p>
        </w:tc>
        <w:tc>
          <w:tcPr>
            <w:tcW w:type="dxa" w:w="2160"/>
            <w:shd w:fill="2E75B6"/>
          </w:tcPr>
          <w:p>
            <w:pPr>
              <w:jc w:val="center"/>
            </w:pPr>
            <w:r>
              <w:rPr>
                <w:rFonts w:ascii="Arial" w:hAnsi="Arial"/>
                <w:b/>
                <w:color w:val="FFFFFF"/>
                <w:sz w:val="20"/>
              </w:rPr>
              <w:t>DORA Article</w:t>
            </w:r>
          </w:p>
        </w:tc>
      </w:tr>
      <w:tr>
        <w:tc>
          <w:tcPr>
            <w:tcW w:type="dxa" w:w="2160"/>
          </w:tcPr>
          <w:p>
            <w:r>
              <w:t>Disaster Recovery Test</w:t>
            </w:r>
          </w:p>
        </w:tc>
        <w:tc>
          <w:tcPr>
            <w:tcW w:type="dxa" w:w="2160"/>
          </w:tcPr>
          <w:p>
            <w:r>
              <w:t>Quarterly (Tier 1)</w:t>
              <w:br/>
              <w:t>Semi-annual (Tier 2)</w:t>
            </w:r>
          </w:p>
        </w:tc>
        <w:tc>
          <w:tcPr>
            <w:tcW w:type="dxa" w:w="2160"/>
          </w:tcPr>
          <w:p>
            <w:r>
              <w:t>Failover to DR region, data recovery, RTO/RPO validation</w:t>
            </w:r>
          </w:p>
        </w:tc>
        <w:tc>
          <w:tcPr>
            <w:tcW w:type="dxa" w:w="2160"/>
          </w:tcPr>
          <w:p>
            <w:r>
              <w:t>Article 24, 25</w:t>
            </w:r>
          </w:p>
        </w:tc>
      </w:tr>
      <w:tr>
        <w:tc>
          <w:tcPr>
            <w:tcW w:type="dxa" w:w="2160"/>
          </w:tcPr>
          <w:p>
            <w:r>
              <w:t>Provider Failover Test</w:t>
            </w:r>
          </w:p>
        </w:tc>
        <w:tc>
          <w:tcPr>
            <w:tcW w:type="dxa" w:w="2160"/>
          </w:tcPr>
          <w:p>
            <w:r>
              <w:t>Semi-annually</w:t>
            </w:r>
          </w:p>
        </w:tc>
        <w:tc>
          <w:tcPr>
            <w:tcW w:type="dxa" w:w="2160"/>
          </w:tcPr>
          <w:p>
            <w:r>
              <w:t>Switch critical services between cloud providers</w:t>
            </w:r>
          </w:p>
        </w:tc>
        <w:tc>
          <w:tcPr>
            <w:tcW w:type="dxa" w:w="2160"/>
          </w:tcPr>
          <w:p>
            <w:r>
              <w:t>Article 28</w:t>
            </w:r>
          </w:p>
        </w:tc>
      </w:tr>
      <w:tr>
        <w:tc>
          <w:tcPr>
            <w:tcW w:type="dxa" w:w="2160"/>
          </w:tcPr>
          <w:p>
            <w:r>
              <w:t>Exit Strategy Validation</w:t>
            </w:r>
          </w:p>
        </w:tc>
        <w:tc>
          <w:tcPr>
            <w:tcW w:type="dxa" w:w="2160"/>
          </w:tcPr>
          <w:p>
            <w:r>
              <w:t>Annually</w:t>
            </w:r>
          </w:p>
        </w:tc>
        <w:tc>
          <w:tcPr>
            <w:tcW w:type="dxa" w:w="2160"/>
          </w:tcPr>
          <w:p>
            <w:r>
              <w:t>Test documented migration procedures for sample workloads</w:t>
            </w:r>
          </w:p>
        </w:tc>
        <w:tc>
          <w:tcPr>
            <w:tcW w:type="dxa" w:w="2160"/>
          </w:tcPr>
          <w:p>
            <w:r>
              <w:t>Article 28</w:t>
            </w:r>
          </w:p>
        </w:tc>
      </w:tr>
      <w:tr>
        <w:tc>
          <w:tcPr>
            <w:tcW w:type="dxa" w:w="2160"/>
          </w:tcPr>
          <w:p>
            <w:r>
              <w:t>Third-Party Contingency</w:t>
            </w:r>
          </w:p>
        </w:tc>
        <w:tc>
          <w:tcPr>
            <w:tcW w:type="dxa" w:w="2160"/>
          </w:tcPr>
          <w:p>
            <w:r>
              <w:t>Annually</w:t>
            </w:r>
          </w:p>
        </w:tc>
        <w:tc>
          <w:tcPr>
            <w:tcW w:type="dxa" w:w="2160"/>
          </w:tcPr>
          <w:p>
            <w:r>
              <w:t>Test alternative third-party service providers</w:t>
            </w:r>
          </w:p>
        </w:tc>
        <w:tc>
          <w:tcPr>
            <w:tcW w:type="dxa" w:w="2160"/>
          </w:tcPr>
          <w:p>
            <w:r>
              <w:t>Article 30</w:t>
            </w:r>
          </w:p>
        </w:tc>
      </w:tr>
      <w:tr>
        <w:tc>
          <w:tcPr>
            <w:tcW w:type="dxa" w:w="2160"/>
          </w:tcPr>
          <w:p>
            <w:r>
              <w:t>Incident Response Drill</w:t>
            </w:r>
          </w:p>
        </w:tc>
        <w:tc>
          <w:tcPr>
            <w:tcW w:type="dxa" w:w="2160"/>
          </w:tcPr>
          <w:p>
            <w:r>
              <w:t>Quarterly</w:t>
            </w:r>
          </w:p>
        </w:tc>
        <w:tc>
          <w:tcPr>
            <w:tcW w:type="dxa" w:w="2160"/>
          </w:tcPr>
          <w:p>
            <w:r>
              <w:t>Simulated cloud provider or regional outage scenarios</w:t>
            </w:r>
          </w:p>
        </w:tc>
        <w:tc>
          <w:tcPr>
            <w:tcW w:type="dxa" w:w="2160"/>
          </w:tcPr>
          <w:p>
            <w:r>
              <w:t>Article 24</w:t>
            </w:r>
          </w:p>
        </w:tc>
      </w:tr>
    </w:tbl>
    <w:p>
      <w:pPr>
        <w:pStyle w:val="Heading2"/>
      </w:pPr>
      <w:r>
        <w:t>9.2 Monitoring and Continuous Assessment</w:t>
      </w:r>
    </w:p>
    <w:p>
      <w:pPr>
        <w:pStyle w:val="ListBullet"/>
      </w:pPr>
      <w:r>
        <w:rPr>
          <w:b/>
        </w:rPr>
        <w:t xml:space="preserve">Monthly ICT Concentration Monitoring: </w:t>
      </w:r>
      <w:r>
        <w:t>Calculate and report concentration across providers, regions, and services. Alert if thresholds exceeded.</w:t>
      </w:r>
    </w:p>
    <w:p>
      <w:pPr>
        <w:pStyle w:val="ListBullet"/>
      </w:pPr>
      <w:r>
        <w:rPr>
          <w:b/>
        </w:rPr>
        <w:t xml:space="preserve">Quarterly Risk Assessment Review: </w:t>
      </w:r>
      <w:r>
        <w:t>Evaluate concentration risk levels and identify rebalancing opportunities.</w:t>
      </w:r>
    </w:p>
    <w:p>
      <w:pPr>
        <w:pStyle w:val="ListBullet"/>
      </w:pPr>
      <w:r>
        <w:rPr>
          <w:b/>
        </w:rPr>
        <w:t xml:space="preserve">Provider SLA Monitoring: </w:t>
      </w:r>
      <w:r>
        <w:t>Track cloud provider availability, incidents, and SLA compliance.</w:t>
      </w:r>
    </w:p>
    <w:p>
      <w:pPr>
        <w:pStyle w:val="ListBullet"/>
      </w:pPr>
      <w:r>
        <w:rPr>
          <w:b/>
        </w:rPr>
        <w:t xml:space="preserve">Third-Party Risk Monitoring: </w:t>
      </w:r>
      <w:r>
        <w:t>Monitor critical ICT third-party providers for incidents and changes.</w:t>
      </w:r>
    </w:p>
    <w:p>
      <w:pPr>
        <w:pStyle w:val="ListBullet"/>
      </w:pPr>
      <w:r>
        <w:rPr>
          <w:b/>
        </w:rPr>
        <w:t xml:space="preserve">Exit Strategy Updates: </w:t>
      </w:r>
      <w:r>
        <w:t>Review and update exit strategies when technology or services change.</w:t>
      </w:r>
    </w:p>
    <w:p>
      <w:pPr>
        <w:pStyle w:val="ListBullet"/>
      </w:pPr>
      <w:r>
        <w:rPr>
          <w:b/>
        </w:rPr>
        <w:t xml:space="preserve">Regulatory Change Tracking: </w:t>
      </w:r>
      <w:r>
        <w:t>Monitor DORA guidance updates and regulatory requirements.</w:t>
      </w:r>
    </w:p>
    <w:p>
      <w:pPr>
        <w:pStyle w:val="Heading2"/>
      </w:pPr>
      <w:r>
        <w:t>9.3 DORA-Aligned Key Performance Indicators</w:t>
      </w:r>
    </w:p>
    <w:tbl>
      <w:tblPr>
        <w:tblStyle w:val="LightGrid-Accent1"/>
        <w:tblW w:type="auto" w:w="0"/>
        <w:tblLook w:firstColumn="1" w:firstRow="1" w:lastColumn="0" w:lastRow="0" w:noHBand="0" w:noVBand="1" w:val="04A0"/>
      </w:tblPr>
      <w:tblGrid>
        <w:gridCol w:w="2880"/>
        <w:gridCol w:w="2880"/>
        <w:gridCol w:w="2880"/>
      </w:tblGrid>
      <w:tr>
        <w:tc>
          <w:tcPr>
            <w:tcW w:type="dxa" w:w="2880"/>
            <w:shd w:fill="2E75B6"/>
          </w:tcPr>
          <w:p>
            <w:pPr>
              <w:jc w:val="center"/>
            </w:pPr>
            <w:r>
              <w:rPr>
                <w:rFonts w:ascii="Arial" w:hAnsi="Arial"/>
                <w:b/>
                <w:color w:val="FFFFFF"/>
                <w:sz w:val="20"/>
              </w:rPr>
              <w:t>KPI</w:t>
            </w:r>
          </w:p>
        </w:tc>
        <w:tc>
          <w:tcPr>
            <w:tcW w:type="dxa" w:w="2880"/>
            <w:shd w:fill="2E75B6"/>
          </w:tcPr>
          <w:p>
            <w:pPr>
              <w:jc w:val="center"/>
            </w:pPr>
            <w:r>
              <w:rPr>
                <w:rFonts w:ascii="Arial" w:hAnsi="Arial"/>
                <w:b/>
                <w:color w:val="FFFFFF"/>
                <w:sz w:val="20"/>
              </w:rPr>
              <w:t>DORA Target</w:t>
            </w:r>
          </w:p>
        </w:tc>
        <w:tc>
          <w:tcPr>
            <w:tcW w:type="dxa" w:w="2880"/>
            <w:shd w:fill="2E75B6"/>
          </w:tcPr>
          <w:p>
            <w:pPr>
              <w:jc w:val="center"/>
            </w:pPr>
            <w:r>
              <w:rPr>
                <w:rFonts w:ascii="Arial" w:hAnsi="Arial"/>
                <w:b/>
                <w:color w:val="FFFFFF"/>
                <w:sz w:val="20"/>
              </w:rPr>
              <w:t>Frequency</w:t>
            </w:r>
          </w:p>
        </w:tc>
      </w:tr>
      <w:tr>
        <w:tc>
          <w:tcPr>
            <w:tcW w:type="dxa" w:w="2880"/>
          </w:tcPr>
          <w:p>
            <w:r>
              <w:t>Max single-provider concentration</w:t>
            </w:r>
          </w:p>
        </w:tc>
        <w:tc>
          <w:tcPr>
            <w:tcW w:type="dxa" w:w="2880"/>
          </w:tcPr>
          <w:p>
            <w:pPr>
              <w:jc w:val="center"/>
            </w:pPr>
            <w:r>
              <w:t>&lt; 60%</w:t>
            </w:r>
          </w:p>
        </w:tc>
        <w:tc>
          <w:tcPr>
            <w:tcW w:type="dxa" w:w="2880"/>
          </w:tcPr>
          <w:p>
            <w:pPr>
              <w:jc w:val="center"/>
            </w:pPr>
            <w:r>
              <w:t>Monthly</w:t>
            </w:r>
          </w:p>
        </w:tc>
      </w:tr>
      <w:tr>
        <w:tc>
          <w:tcPr>
            <w:tcW w:type="dxa" w:w="2880"/>
          </w:tcPr>
          <w:p>
            <w:r>
              <w:t>Max single-region concentration</w:t>
            </w:r>
          </w:p>
        </w:tc>
        <w:tc>
          <w:tcPr>
            <w:tcW w:type="dxa" w:w="2880"/>
          </w:tcPr>
          <w:p>
            <w:pPr>
              <w:jc w:val="center"/>
            </w:pPr>
            <w:r>
              <w:t>&lt; 40%</w:t>
            </w:r>
          </w:p>
        </w:tc>
        <w:tc>
          <w:tcPr>
            <w:tcW w:type="dxa" w:w="2880"/>
          </w:tcPr>
          <w:p>
            <w:pPr>
              <w:jc w:val="center"/>
            </w:pPr>
            <w:r>
              <w:t>Monthly</w:t>
            </w:r>
          </w:p>
        </w:tc>
      </w:tr>
      <w:tr>
        <w:tc>
          <w:tcPr>
            <w:tcW w:type="dxa" w:w="2880"/>
          </w:tcPr>
          <w:p>
            <w:r>
              <w:t>Tier 1 workloads with documented exit strategy</w:t>
            </w:r>
          </w:p>
        </w:tc>
        <w:tc>
          <w:tcPr>
            <w:tcW w:type="dxa" w:w="2880"/>
          </w:tcPr>
          <w:p>
            <w:pPr>
              <w:jc w:val="center"/>
            </w:pPr>
            <w:r>
              <w:t>100%</w:t>
            </w:r>
          </w:p>
        </w:tc>
        <w:tc>
          <w:tcPr>
            <w:tcW w:type="dxa" w:w="2880"/>
          </w:tcPr>
          <w:p>
            <w:pPr>
              <w:jc w:val="center"/>
            </w:pPr>
            <w:r>
              <w:t>Ongoing</w:t>
            </w:r>
          </w:p>
        </w:tc>
      </w:tr>
      <w:tr>
        <w:tc>
          <w:tcPr>
            <w:tcW w:type="dxa" w:w="2880"/>
          </w:tcPr>
          <w:p>
            <w:r>
              <w:t>Resilience test completion rate</w:t>
            </w:r>
          </w:p>
        </w:tc>
        <w:tc>
          <w:tcPr>
            <w:tcW w:type="dxa" w:w="2880"/>
          </w:tcPr>
          <w:p>
            <w:pPr>
              <w:jc w:val="center"/>
            </w:pPr>
            <w:r>
              <w:t>100%</w:t>
            </w:r>
          </w:p>
        </w:tc>
        <w:tc>
          <w:tcPr>
            <w:tcW w:type="dxa" w:w="2880"/>
          </w:tcPr>
          <w:p>
            <w:pPr>
              <w:jc w:val="center"/>
            </w:pPr>
            <w:r>
              <w:t>Per schedule</w:t>
            </w:r>
          </w:p>
        </w:tc>
      </w:tr>
      <w:tr>
        <w:tc>
          <w:tcPr>
            <w:tcW w:type="dxa" w:w="2880"/>
          </w:tcPr>
          <w:p>
            <w:r>
              <w:t>RTO achievement for Tier 1 workloads</w:t>
            </w:r>
          </w:p>
        </w:tc>
        <w:tc>
          <w:tcPr>
            <w:tcW w:type="dxa" w:w="2880"/>
          </w:tcPr>
          <w:p>
            <w:pPr>
              <w:jc w:val="center"/>
            </w:pPr>
            <w:r>
              <w:t>&gt; 95%</w:t>
            </w:r>
          </w:p>
        </w:tc>
        <w:tc>
          <w:tcPr>
            <w:tcW w:type="dxa" w:w="2880"/>
          </w:tcPr>
          <w:p>
            <w:pPr>
              <w:jc w:val="center"/>
            </w:pPr>
            <w:r>
              <w:t>Per incident</w:t>
            </w:r>
          </w:p>
        </w:tc>
      </w:tr>
      <w:tr>
        <w:tc>
          <w:tcPr>
            <w:tcW w:type="dxa" w:w="2880"/>
          </w:tcPr>
          <w:p>
            <w:r>
              <w:t>Provider SLA compliance</w:t>
            </w:r>
          </w:p>
        </w:tc>
        <w:tc>
          <w:tcPr>
            <w:tcW w:type="dxa" w:w="2880"/>
          </w:tcPr>
          <w:p>
            <w:pPr>
              <w:jc w:val="center"/>
            </w:pPr>
            <w:r>
              <w:t>&gt; 99.5%</w:t>
            </w:r>
          </w:p>
        </w:tc>
        <w:tc>
          <w:tcPr>
            <w:tcW w:type="dxa" w:w="2880"/>
          </w:tcPr>
          <w:p>
            <w:pPr>
              <w:jc w:val="center"/>
            </w:pPr>
            <w:r>
              <w:t>Monthly</w:t>
            </w:r>
          </w:p>
        </w:tc>
      </w:tr>
      <w:tr>
        <w:tc>
          <w:tcPr>
            <w:tcW w:type="dxa" w:w="2880"/>
          </w:tcPr>
          <w:p>
            <w:r>
              <w:t>Third-party risk assessments completed</w:t>
            </w:r>
          </w:p>
        </w:tc>
        <w:tc>
          <w:tcPr>
            <w:tcW w:type="dxa" w:w="2880"/>
          </w:tcPr>
          <w:p>
            <w:pPr>
              <w:jc w:val="center"/>
            </w:pPr>
            <w:r>
              <w:t>100% annually</w:t>
            </w:r>
          </w:p>
        </w:tc>
        <w:tc>
          <w:tcPr>
            <w:tcW w:type="dxa" w:w="2880"/>
          </w:tcPr>
          <w:p>
            <w:pPr>
              <w:jc w:val="center"/>
            </w:pPr>
            <w:r>
              <w:t>Annual</w:t>
            </w:r>
          </w:p>
        </w:tc>
      </w:tr>
      <w:tr>
        <w:tc>
          <w:tcPr>
            <w:tcW w:type="dxa" w:w="2880"/>
          </w:tcPr>
          <w:p>
            <w:r>
              <w:t>DORA compliance gaps identified</w:t>
            </w:r>
          </w:p>
        </w:tc>
        <w:tc>
          <w:tcPr>
            <w:tcW w:type="dxa" w:w="2880"/>
          </w:tcPr>
          <w:p>
            <w:pPr>
              <w:jc w:val="center"/>
            </w:pPr>
            <w:r>
              <w:t>0</w:t>
            </w:r>
          </w:p>
        </w:tc>
        <w:tc>
          <w:tcPr>
            <w:tcW w:type="dxa" w:w="2880"/>
          </w:tcPr>
          <w:p>
            <w:pPr>
              <w:jc w:val="center"/>
            </w:pPr>
            <w:r>
              <w:t>Quarterly</w:t>
            </w:r>
          </w:p>
        </w:tc>
      </w:tr>
    </w:tbl>
    <w:p>
      <w:r>
        <w:br w:type="page"/>
      </w:r>
    </w:p>
    <w:p>
      <w:pPr>
        <w:pStyle w:val="Heading1"/>
      </w:pPr>
      <w:r>
        <w:t>10. Conclusion and Implementation Roadmap</w:t>
      </w:r>
    </w:p>
    <w:p>
      <w:r>
        <w:t>This DORA-aligned Cloud Workload Placement Decision Tree addresses the Internal Audit recommendation by establishing a formal, documented ICT risk analysis process required by the Digital Operational Resilience Act. The framework ensures compliance with DORA Articles 6 (ICT risk management), 28 (concentration risk), and 30 (third-party risk) before deploying, migrating, or moving technological services to cloud regions.</w:t>
      </w:r>
    </w:p>
    <w:p>
      <w:r>
        <w:t>By prioritizing ICT concentration risk assessment and exit strategy documentation, this framework provides the systematic approach mandated by DORA while maintaining operational flexibility and cost efficiency.</w:t>
      </w:r>
    </w:p>
    <w:p>
      <w:pPr>
        <w:pStyle w:val="Heading2"/>
      </w:pPr>
      <w:r>
        <w:t>10.1 Immediate Action Items (30-90 Days)</w:t>
      </w:r>
    </w:p>
    <w:p>
      <w:pPr>
        <w:pStyle w:val="ListNumber"/>
      </w:pPr>
      <w:r>
        <w:t xml:space="preserve">1. </w:t>
      </w:r>
      <w:r>
        <w:rPr>
          <w:b/>
        </w:rPr>
        <w:t xml:space="preserve">Complete Current State Assessment: </w:t>
      </w:r>
      <w:r>
        <w:t>Analyze existing workload distribution and calculate concentration risk levels across providers and regions (Target: 30 days)</w:t>
      </w:r>
    </w:p>
    <w:p>
      <w:pPr>
        <w:pStyle w:val="ListNumber"/>
      </w:pPr>
      <w:r>
        <w:t xml:space="preserve">2. </w:t>
      </w:r>
      <w:r>
        <w:rPr>
          <w:b/>
        </w:rPr>
        <w:t xml:space="preserve">Document Exit Strategies: </w:t>
      </w:r>
      <w:r>
        <w:t>Create exit strategy documentation for all Tier 1 and Tier 2 applications currently deployed (Target: 45 days)</w:t>
      </w:r>
    </w:p>
    <w:p>
      <w:pPr>
        <w:pStyle w:val="ListNumber"/>
      </w:pPr>
      <w:r>
        <w:t xml:space="preserve">3. </w:t>
      </w:r>
      <w:r>
        <w:rPr>
          <w:b/>
        </w:rPr>
        <w:t xml:space="preserve">Establish ICT Risk Register: </w:t>
      </w:r>
      <w:r>
        <w:t>Create centralized repository for DORA-compliant risk assessments and approvals (Target: 30 days)</w:t>
      </w:r>
    </w:p>
    <w:p>
      <w:pPr>
        <w:pStyle w:val="ListNumber"/>
      </w:pPr>
      <w:r>
        <w:t xml:space="preserve">4. </w:t>
      </w:r>
      <w:r>
        <w:rPr>
          <w:b/>
        </w:rPr>
        <w:t xml:space="preserve">Conduct DORA Training: </w:t>
      </w:r>
      <w:r>
        <w:t>Train architecture and operations teams on DORA requirements and decision tree usage (Target: 60 days)</w:t>
      </w:r>
    </w:p>
    <w:p>
      <w:pPr>
        <w:pStyle w:val="ListNumber"/>
      </w:pPr>
      <w:r>
        <w:t xml:space="preserve">5. </w:t>
      </w:r>
      <w:r>
        <w:rPr>
          <w:b/>
        </w:rPr>
        <w:t xml:space="preserve">Implement Concentration Monitoring: </w:t>
      </w:r>
      <w:r>
        <w:t>Deploy automated monitoring dashboard for concentration risk tracking (Target: 90 days)</w:t>
      </w:r>
    </w:p>
    <w:p>
      <w:pPr>
        <w:pStyle w:val="Heading2"/>
      </w:pPr>
      <w:r>
        <w:t>10.2 Long-Term DORA Compliance Roadmap</w:t>
      </w:r>
    </w:p>
    <w:p>
      <w:pPr>
        <w:pStyle w:val="ListBullet"/>
      </w:pPr>
      <w:r>
        <w:rPr>
          <w:b/>
        </w:rPr>
        <w:t xml:space="preserve">Q1 2026: </w:t>
      </w:r>
      <w:r>
        <w:t>Complete assessment of all existing workloads against DORA framework. Document concentration risks and exit strategies.</w:t>
      </w:r>
    </w:p>
    <w:p>
      <w:pPr>
        <w:pStyle w:val="ListBullet"/>
      </w:pPr>
      <w:r>
        <w:rPr>
          <w:b/>
        </w:rPr>
        <w:t xml:space="preserve">Q2 2026: </w:t>
      </w:r>
      <w:r>
        <w:t>Implement automated concentration monitoring and alerting. Establish quarterly testing schedule.</w:t>
      </w:r>
    </w:p>
    <w:p>
      <w:pPr>
        <w:pStyle w:val="ListBullet"/>
      </w:pPr>
      <w:r>
        <w:rPr>
          <w:b/>
        </w:rPr>
        <w:t xml:space="preserve">Q3 2026: </w:t>
      </w:r>
      <w:r>
        <w:t>Conduct first comprehensive resilience testing program across all critical workloads.</w:t>
      </w:r>
    </w:p>
    <w:p>
      <w:pPr>
        <w:pStyle w:val="ListBullet"/>
      </w:pPr>
      <w:r>
        <w:rPr>
          <w:b/>
        </w:rPr>
        <w:t xml:space="preserve">Q4 2026: </w:t>
      </w:r>
      <w:r>
        <w:t>Evaluate geographic diversification options (additional Azure regions) based on concentration analysis.</w:t>
      </w:r>
    </w:p>
    <w:p>
      <w:pPr>
        <w:pStyle w:val="ListBullet"/>
      </w:pPr>
      <w:r>
        <w:rPr>
          <w:b/>
        </w:rPr>
        <w:t xml:space="preserve">Q1 2027: </w:t>
      </w:r>
      <w:r>
        <w:t>Complete first annual DORA compliance review and regulatory reporting.</w:t>
      </w:r>
    </w:p>
    <w:p>
      <w:pPr>
        <w:pStyle w:val="ListBullet"/>
      </w:pPr>
      <w:r>
        <w:rPr>
          <w:b/>
        </w:rPr>
        <w:t xml:space="preserve">Ongoing: </w:t>
      </w:r>
      <w:r>
        <w:t>Quarterly decision tree reviews, monthly concentration monitoring, continuous exit strategy updates.</w:t>
      </w:r>
    </w:p>
    <w:p>
      <w:r>
        <w:t>By implementing this DORA-compliant framework, the organization establishes the formal ICT risk analysis process required by regulation while creating a sustainable approach to cloud workload placement that ensures operational resilience, prevents concentration risk, and maintains documented exit strategies.</w:t>
      </w:r>
    </w:p>
    <w:p>
      <w:r>
        <w:br w:type="page"/>
      </w:r>
    </w:p>
    <w:p>
      <w:pPr>
        <w:pStyle w:val="Heading1"/>
      </w:pPr>
      <w:r>
        <w:t>Appendix A: DORA Decision Tree Quick Reference</w:t>
      </w:r>
    </w:p>
    <w:tbl>
      <w:tblPr>
        <w:tblStyle w:val="LightGrid-Accent1"/>
        <w:tblW w:type="auto" w:w="0"/>
        <w:tblLook w:firstColumn="1" w:firstRow="1" w:lastColumn="0" w:lastRow="0" w:noHBand="0" w:noVBand="1" w:val="04A0"/>
      </w:tblPr>
      <w:tblGrid>
        <w:gridCol w:w="4320"/>
        <w:gridCol w:w="4320"/>
      </w:tblGrid>
      <w:tr>
        <w:tc>
          <w:tcPr>
            <w:tcW w:type="dxa" w:w="4320"/>
            <w:shd w:fill="2E75B6"/>
          </w:tcPr>
          <w:p>
            <w:pPr>
              <w:jc w:val="center"/>
            </w:pPr>
            <w:r>
              <w:rPr>
                <w:rFonts w:ascii="Arial" w:hAnsi="Arial"/>
                <w:b/>
                <w:color w:val="FFFFFF"/>
                <w:sz w:val="20"/>
              </w:rPr>
              <w:t>Step</w:t>
            </w:r>
          </w:p>
        </w:tc>
        <w:tc>
          <w:tcPr>
            <w:tcW w:type="dxa" w:w="4320"/>
            <w:shd w:fill="2E75B6"/>
          </w:tcPr>
          <w:p>
            <w:pPr>
              <w:jc w:val="center"/>
            </w:pPr>
            <w:r>
              <w:rPr>
                <w:rFonts w:ascii="Arial" w:hAnsi="Arial"/>
                <w:b/>
                <w:color w:val="FFFFFF"/>
                <w:sz w:val="20"/>
              </w:rPr>
              <w:t>Quick Decision Criteria</w:t>
            </w:r>
          </w:p>
        </w:tc>
      </w:tr>
      <w:tr>
        <w:tc>
          <w:tcPr>
            <w:tcW w:type="dxa" w:w="4320"/>
          </w:tcPr>
          <w:p>
            <w:pPr>
              <w:jc w:val="center"/>
            </w:pPr>
            <w:r>
              <w:t>1</w:t>
            </w:r>
          </w:p>
        </w:tc>
        <w:tc>
          <w:tcPr>
            <w:tcW w:type="dxa" w:w="4320"/>
          </w:tcPr>
          <w:p>
            <w:r>
              <w:t>ICT Concentration: &gt;60% HIGH RISK | 40-60% MODERATE | &lt;40% LOW (DORA Art. 28)</w:t>
            </w:r>
          </w:p>
        </w:tc>
      </w:tr>
      <w:tr>
        <w:tc>
          <w:tcPr>
            <w:tcW w:type="dxa" w:w="4320"/>
          </w:tcPr>
          <w:p>
            <w:pPr>
              <w:jc w:val="center"/>
            </w:pPr>
            <w:r>
              <w:t>2</w:t>
            </w:r>
          </w:p>
        </w:tc>
        <w:tc>
          <w:tcPr>
            <w:tcW w:type="dxa" w:w="4320"/>
          </w:tcPr>
          <w:p>
            <w:r>
              <w:t>Criticality: TIER 1 = Multi-region | TIER 2 = Primary+DR | TIER 3 = Single+Backup</w:t>
            </w:r>
          </w:p>
        </w:tc>
      </w:tr>
      <w:tr>
        <w:tc>
          <w:tcPr>
            <w:tcW w:type="dxa" w:w="4320"/>
          </w:tcPr>
          <w:p>
            <w:pPr>
              <w:jc w:val="center"/>
            </w:pPr>
            <w:r>
              <w:t>3</w:t>
            </w:r>
          </w:p>
        </w:tc>
        <w:tc>
          <w:tcPr>
            <w:tcW w:type="dxa" w:w="4320"/>
          </w:tcPr>
          <w:p>
            <w:r>
              <w:t>Exit Strategy: Document alternatives | Test migration | Avoid lock-in (DORA Art. 28)</w:t>
            </w:r>
          </w:p>
        </w:tc>
      </w:tr>
      <w:tr>
        <w:tc>
          <w:tcPr>
            <w:tcW w:type="dxa" w:w="4320"/>
          </w:tcPr>
          <w:p>
            <w:pPr>
              <w:jc w:val="center"/>
            </w:pPr>
            <w:r>
              <w:t>4</w:t>
            </w:r>
          </w:p>
        </w:tc>
        <w:tc>
          <w:tcPr>
            <w:tcW w:type="dxa" w:w="4320"/>
          </w:tcPr>
          <w:p>
            <w:r>
              <w:t>Data Sovereignty: EU data → EU regions only | Other regs → Filter regions | None → All available</w:t>
            </w:r>
          </w:p>
        </w:tc>
      </w:tr>
      <w:tr>
        <w:tc>
          <w:tcPr>
            <w:tcW w:type="dxa" w:w="4320"/>
          </w:tcPr>
          <w:p>
            <w:pPr>
              <w:jc w:val="center"/>
            </w:pPr>
            <w:r>
              <w:t>5</w:t>
            </w:r>
          </w:p>
        </w:tc>
        <w:tc>
          <w:tcPr>
            <w:tcW w:type="dxa" w:w="4320"/>
          </w:tcPr>
          <w:p>
            <w:r>
              <w:t>Technical: Services available | Integrations OK | Provider SLA meets requirements</w:t>
            </w:r>
          </w:p>
        </w:tc>
      </w:tr>
      <w:tr>
        <w:tc>
          <w:tcPr>
            <w:tcW w:type="dxa" w:w="4320"/>
          </w:tcPr>
          <w:p>
            <w:pPr>
              <w:jc w:val="center"/>
            </w:pPr>
            <w:r>
              <w:t>6</w:t>
            </w:r>
          </w:p>
        </w:tc>
        <w:tc>
          <w:tcPr>
            <w:tcW w:type="dxa" w:w="4320"/>
          </w:tcPr>
          <w:p>
            <w:r>
              <w:t>Performance &amp; Cost: &lt;50ms closest | 50-100ms balance | &gt;100ms cost priority | &gt;20% diff = justify</w:t>
            </w:r>
          </w:p>
        </w:tc>
      </w:tr>
    </w:tbl>
    <w:p>
      <w:pPr>
        <w:pStyle w:val="Heading2"/>
      </w:pPr>
      <w:r>
        <w:t>DORA Compliance Checklist</w:t>
      </w:r>
    </w:p>
    <w:p>
      <w:pPr>
        <w:pStyle w:val="ListBullet"/>
      </w:pPr>
      <w:r>
        <w:t>☐ ICT concentration risk &lt; 60% on any single provider/region</w:t>
      </w:r>
    </w:p>
    <w:p>
      <w:pPr>
        <w:pStyle w:val="ListBullet"/>
      </w:pPr>
      <w:r>
        <w:t>☐ Exit strategy documented for all Tier 1 and Tier 2 workloads</w:t>
      </w:r>
    </w:p>
    <w:p>
      <w:pPr>
        <w:pStyle w:val="ListBullet"/>
      </w:pPr>
      <w:r>
        <w:t>☐ Alternative providers identified and tested</w:t>
      </w:r>
    </w:p>
    <w:p>
      <w:pPr>
        <w:pStyle w:val="ListBullet"/>
      </w:pPr>
      <w:r>
        <w:t>☐ Third-party dependencies mapped and assessed</w:t>
      </w:r>
    </w:p>
    <w:p>
      <w:pPr>
        <w:pStyle w:val="ListBullet"/>
      </w:pPr>
      <w:r>
        <w:t>☐ Resilience testing schedule established per DORA requirements</w:t>
      </w:r>
    </w:p>
    <w:p>
      <w:pPr>
        <w:pStyle w:val="ListBullet"/>
      </w:pPr>
      <w:r>
        <w:t>☐ Provider SLAs meet operational resilience requirements</w:t>
      </w:r>
    </w:p>
    <w:p>
      <w:pPr>
        <w:pStyle w:val="ListBullet"/>
      </w:pPr>
      <w:r>
        <w:t>☐ GDPR and data sovereignty requirements validated</w:t>
      </w:r>
    </w:p>
    <w:p>
      <w:pPr>
        <w:pStyle w:val="ListBullet"/>
      </w:pPr>
      <w:r>
        <w:t>☐ Deployment documented in ICT Risk Register</w:t>
      </w:r>
    </w:p>
    <w:p>
      <w:pPr>
        <w:pStyle w:val="ListBullet"/>
      </w:pPr>
      <w:r>
        <w:t>☐ Approval obtained from appropriate authority</w:t>
      </w:r>
    </w:p>
    <w:p>
      <w:pPr>
        <w:pStyle w:val="ListBullet"/>
      </w:pPr>
      <w:r>
        <w:t>☐ Annual review date scheduled</w:t>
      </w:r>
    </w:p>
    <w:p>
      <w:r>
        <w:br w:type="page"/>
      </w:r>
    </w:p>
    <w:p>
      <w:pPr>
        <w:pStyle w:val="Heading1"/>
      </w:pPr>
      <w:r>
        <w:t>Appendix B: DORA and ICT Risk Glossary</w:t>
      </w:r>
    </w:p>
    <w:tbl>
      <w:tblPr>
        <w:tblStyle w:val="LightGrid-Accent1"/>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rPr>
                <w:b/>
              </w:rPr>
              <w:t>DORA</w:t>
            </w:r>
          </w:p>
        </w:tc>
        <w:tc>
          <w:tcPr>
            <w:tcW w:type="dxa" w:w="4320"/>
          </w:tcPr>
          <w:p>
            <w:r>
              <w:t>Digital Operational Resilience Act - EU regulation establishing comprehensive framework for ICT risk management in financial sector</w:t>
            </w:r>
          </w:p>
        </w:tc>
      </w:tr>
      <w:tr>
        <w:tc>
          <w:tcPr>
            <w:tcW w:type="dxa" w:w="4320"/>
          </w:tcPr>
          <w:p>
            <w:r>
              <w:rPr>
                <w:b/>
              </w:rPr>
              <w:t>ICT</w:t>
            </w:r>
          </w:p>
        </w:tc>
        <w:tc>
          <w:tcPr>
            <w:tcW w:type="dxa" w:w="4320"/>
          </w:tcPr>
          <w:p>
            <w:r>
              <w:t>Information and Communication Technology - includes all digital systems, networks, and services</w:t>
            </w:r>
          </w:p>
        </w:tc>
      </w:tr>
      <w:tr>
        <w:tc>
          <w:tcPr>
            <w:tcW w:type="dxa" w:w="4320"/>
          </w:tcPr>
          <w:p>
            <w:r>
              <w:rPr>
                <w:b/>
              </w:rPr>
              <w:t>ICT Concentration Risk</w:t>
            </w:r>
          </w:p>
        </w:tc>
        <w:tc>
          <w:tcPr>
            <w:tcW w:type="dxa" w:w="4320"/>
          </w:tcPr>
          <w:p>
            <w:r>
              <w:t>Risk arising from dependencies on single provider, region, service, or third party (DORA Article 28)</w:t>
            </w:r>
          </w:p>
        </w:tc>
      </w:tr>
      <w:tr>
        <w:tc>
          <w:tcPr>
            <w:tcW w:type="dxa" w:w="4320"/>
          </w:tcPr>
          <w:p>
            <w:r>
              <w:rPr>
                <w:b/>
              </w:rPr>
              <w:t>Exit Strategy</w:t>
            </w:r>
          </w:p>
        </w:tc>
        <w:tc>
          <w:tcPr>
            <w:tcW w:type="dxa" w:w="4320"/>
          </w:tcPr>
          <w:p>
            <w:r>
              <w:t>Documented plan for transitioning ICT services between providers or regions to avoid vendor lock-in</w:t>
            </w:r>
          </w:p>
        </w:tc>
      </w:tr>
      <w:tr>
        <w:tc>
          <w:tcPr>
            <w:tcW w:type="dxa" w:w="4320"/>
          </w:tcPr>
          <w:p>
            <w:r>
              <w:rPr>
                <w:b/>
              </w:rPr>
              <w:t>Substitutability</w:t>
            </w:r>
          </w:p>
        </w:tc>
        <w:tc>
          <w:tcPr>
            <w:tcW w:type="dxa" w:w="4320"/>
          </w:tcPr>
          <w:p>
            <w:r>
              <w:t>Ability to replace ICT service provider or solution with alternative while maintaining functionality</w:t>
            </w:r>
          </w:p>
        </w:tc>
      </w:tr>
      <w:tr>
        <w:tc>
          <w:tcPr>
            <w:tcW w:type="dxa" w:w="4320"/>
          </w:tcPr>
          <w:p>
            <w:r>
              <w:rPr>
                <w:b/>
              </w:rPr>
              <w:t>Third-Party ICT Provider</w:t>
            </w:r>
          </w:p>
        </w:tc>
        <w:tc>
          <w:tcPr>
            <w:tcW w:type="dxa" w:w="4320"/>
          </w:tcPr>
          <w:p>
            <w:r>
              <w:t>External entity providing ICT services (cloud providers, SaaS vendors, infrastructure services)</w:t>
            </w:r>
          </w:p>
        </w:tc>
      </w:tr>
      <w:tr>
        <w:tc>
          <w:tcPr>
            <w:tcW w:type="dxa" w:w="4320"/>
          </w:tcPr>
          <w:p>
            <w:r>
              <w:rPr>
                <w:b/>
              </w:rPr>
              <w:t>Operational Resilience</w:t>
            </w:r>
          </w:p>
        </w:tc>
        <w:tc>
          <w:tcPr>
            <w:tcW w:type="dxa" w:w="4320"/>
          </w:tcPr>
          <w:p>
            <w:r>
              <w:t>Ability to prevent, respond to, recover from, and learn from operational disruptions</w:t>
            </w:r>
          </w:p>
        </w:tc>
      </w:tr>
      <w:tr>
        <w:tc>
          <w:tcPr>
            <w:tcW w:type="dxa" w:w="4320"/>
          </w:tcPr>
          <w:p>
            <w:r>
              <w:rPr>
                <w:b/>
              </w:rPr>
              <w:t>RTO</w:t>
            </w:r>
          </w:p>
        </w:tc>
        <w:tc>
          <w:tcPr>
            <w:tcW w:type="dxa" w:w="4320"/>
          </w:tcPr>
          <w:p>
            <w:r>
              <w:t>Recovery Time Objective - Maximum acceptable downtime after disruption</w:t>
            </w:r>
          </w:p>
        </w:tc>
      </w:tr>
      <w:tr>
        <w:tc>
          <w:tcPr>
            <w:tcW w:type="dxa" w:w="4320"/>
          </w:tcPr>
          <w:p>
            <w:r>
              <w:rPr>
                <w:b/>
              </w:rPr>
              <w:t>RPO</w:t>
            </w:r>
          </w:p>
        </w:tc>
        <w:tc>
          <w:tcPr>
            <w:tcW w:type="dxa" w:w="4320"/>
          </w:tcPr>
          <w:p>
            <w:r>
              <w:t>Recovery Point Objective - Maximum acceptable data loss in time units</w:t>
            </w:r>
          </w:p>
        </w:tc>
      </w:tr>
      <w:tr>
        <w:tc>
          <w:tcPr>
            <w:tcW w:type="dxa" w:w="4320"/>
          </w:tcPr>
          <w:p>
            <w:r>
              <w:rPr>
                <w:b/>
              </w:rPr>
              <w:t>Multi-AZ</w:t>
            </w:r>
          </w:p>
        </w:tc>
        <w:tc>
          <w:tcPr>
            <w:tcW w:type="dxa" w:w="4320"/>
          </w:tcPr>
          <w:p>
            <w:r>
              <w:t>Multi-Availability Zone deployment within single cloud region for high availability</w:t>
            </w:r>
          </w:p>
        </w:tc>
      </w:tr>
      <w:tr>
        <w:tc>
          <w:tcPr>
            <w:tcW w:type="dxa" w:w="4320"/>
          </w:tcPr>
          <w:p>
            <w:r>
              <w:rPr>
                <w:b/>
              </w:rPr>
              <w:t>Active-Active</w:t>
            </w:r>
          </w:p>
        </w:tc>
        <w:tc>
          <w:tcPr>
            <w:tcW w:type="dxa" w:w="4320"/>
          </w:tcPr>
          <w:p>
            <w:r>
              <w:t>Architecture where workloads run simultaneously in multiple regions with traffic distribution</w:t>
            </w:r>
          </w:p>
        </w:tc>
      </w:tr>
      <w:tr>
        <w:tc>
          <w:tcPr>
            <w:tcW w:type="dxa" w:w="4320"/>
          </w:tcPr>
          <w:p>
            <w:r>
              <w:rPr>
                <w:b/>
              </w:rPr>
              <w:t>GDPR</w:t>
            </w:r>
          </w:p>
        </w:tc>
        <w:tc>
          <w:tcPr>
            <w:tcW w:type="dxa" w:w="4320"/>
          </w:tcPr>
          <w:p>
            <w:r>
              <w:t>General Data Protection Regulation - EU law governing data protection and privacy</w:t>
            </w:r>
          </w:p>
        </w:tc>
      </w:tr>
      <w:tr>
        <w:tc>
          <w:tcPr>
            <w:tcW w:type="dxa" w:w="4320"/>
          </w:tcPr>
          <w:p>
            <w:r>
              <w:rPr>
                <w:b/>
              </w:rPr>
              <w:t>Data Sovereignty</w:t>
            </w:r>
          </w:p>
        </w:tc>
        <w:tc>
          <w:tcPr>
            <w:tcW w:type="dxa" w:w="4320"/>
          </w:tcPr>
          <w:p>
            <w:r>
              <w:t>Requirement that data is subject to laws of nation where physically stored</w:t>
            </w:r>
          </w:p>
        </w:tc>
      </w:tr>
      <w:tr>
        <w:tc>
          <w:tcPr>
            <w:tcW w:type="dxa" w:w="4320"/>
          </w:tcPr>
          <w:p>
            <w:r>
              <w:rPr>
                <w:b/>
              </w:rPr>
              <w:t>Critical ICT Function</w:t>
            </w:r>
          </w:p>
        </w:tc>
        <w:tc>
          <w:tcPr>
            <w:tcW w:type="dxa" w:w="4320"/>
          </w:tcPr>
          <w:p>
            <w:r>
              <w:t>ICT function whose failure would materially impair financial entity's business or compliance</w:t>
            </w:r>
          </w:p>
        </w:tc>
      </w:tr>
    </w:tbl>
    <w:p>
      <w:r>
        <w:br w:type="page"/>
      </w:r>
    </w:p>
    <w:p>
      <w:pPr>
        <w:pStyle w:val="Heading1"/>
      </w:pPr>
      <w:r>
        <w:t>Appendix C: Relevant DORA Articles</w:t>
      </w:r>
    </w:p>
    <w:tbl>
      <w:tblPr>
        <w:tblStyle w:val="LightGrid-Accent1"/>
        <w:tblW w:type="auto" w:w="0"/>
        <w:tblLook w:firstColumn="1" w:firstRow="1" w:lastColumn="0" w:lastRow="0" w:noHBand="0" w:noVBand="1" w:val="04A0"/>
      </w:tblPr>
      <w:tblGrid>
        <w:gridCol w:w="2880"/>
        <w:gridCol w:w="2880"/>
        <w:gridCol w:w="2880"/>
      </w:tblGrid>
      <w:tr>
        <w:tc>
          <w:tcPr>
            <w:tcW w:type="dxa" w:w="2880"/>
            <w:shd w:fill="2E75B6"/>
          </w:tcPr>
          <w:p>
            <w:pPr>
              <w:jc w:val="center"/>
            </w:pPr>
            <w:r>
              <w:rPr>
                <w:rFonts w:ascii="Arial" w:hAnsi="Arial"/>
                <w:b/>
                <w:color w:val="FFFFFF"/>
                <w:sz w:val="20"/>
              </w:rPr>
              <w:t>Article</w:t>
            </w:r>
          </w:p>
        </w:tc>
        <w:tc>
          <w:tcPr>
            <w:tcW w:type="dxa" w:w="2880"/>
            <w:shd w:fill="2E75B6"/>
          </w:tcPr>
          <w:p>
            <w:pPr>
              <w:jc w:val="center"/>
            </w:pPr>
            <w:r>
              <w:rPr>
                <w:rFonts w:ascii="Arial" w:hAnsi="Arial"/>
                <w:b/>
                <w:color w:val="FFFFFF"/>
                <w:sz w:val="20"/>
              </w:rPr>
              <w:t>Topic</w:t>
            </w:r>
          </w:p>
        </w:tc>
        <w:tc>
          <w:tcPr>
            <w:tcW w:type="dxa" w:w="2880"/>
            <w:shd w:fill="2E75B6"/>
          </w:tcPr>
          <w:p>
            <w:pPr>
              <w:jc w:val="center"/>
            </w:pPr>
            <w:r>
              <w:rPr>
                <w:rFonts w:ascii="Arial" w:hAnsi="Arial"/>
                <w:b/>
                <w:color w:val="FFFFFF"/>
                <w:sz w:val="20"/>
              </w:rPr>
              <w:t>Key Requirements</w:t>
            </w:r>
          </w:p>
        </w:tc>
      </w:tr>
      <w:tr>
        <w:tc>
          <w:tcPr>
            <w:tcW w:type="dxa" w:w="2880"/>
          </w:tcPr>
          <w:p>
            <w:r>
              <w:t>Article 6</w:t>
            </w:r>
          </w:p>
        </w:tc>
        <w:tc>
          <w:tcPr>
            <w:tcW w:type="dxa" w:w="2880"/>
          </w:tcPr>
          <w:p>
            <w:r>
              <w:t>ICT Risk Management Framework</w:t>
            </w:r>
          </w:p>
        </w:tc>
        <w:tc>
          <w:tcPr>
            <w:tcW w:type="dxa" w:w="2880"/>
          </w:tcPr>
          <w:p>
            <w:r>
              <w:t>Establish comprehensive ICT risk management framework with policies, procedures, and documentation</w:t>
            </w:r>
          </w:p>
        </w:tc>
      </w:tr>
      <w:tr>
        <w:tc>
          <w:tcPr>
            <w:tcW w:type="dxa" w:w="2880"/>
          </w:tcPr>
          <w:p>
            <w:r>
              <w:t>Article 24-25</w:t>
            </w:r>
          </w:p>
        </w:tc>
        <w:tc>
          <w:tcPr>
            <w:tcW w:type="dxa" w:w="2880"/>
          </w:tcPr>
          <w:p>
            <w:r>
              <w:t>Digital Operational Resilience Testing</w:t>
            </w:r>
          </w:p>
        </w:tc>
        <w:tc>
          <w:tcPr>
            <w:tcW w:type="dxa" w:w="2880"/>
          </w:tcPr>
          <w:p>
            <w:r>
              <w:t>Conduct regular testing of ICT systems, business continuity, and disaster recovery</w:t>
            </w:r>
          </w:p>
        </w:tc>
      </w:tr>
      <w:tr>
        <w:tc>
          <w:tcPr>
            <w:tcW w:type="dxa" w:w="2880"/>
          </w:tcPr>
          <w:p>
            <w:r>
              <w:t>Article 28</w:t>
            </w:r>
          </w:p>
        </w:tc>
        <w:tc>
          <w:tcPr>
            <w:tcW w:type="dxa" w:w="2880"/>
          </w:tcPr>
          <w:p>
            <w:r>
              <w:t>ICT Concentration Risk</w:t>
            </w:r>
          </w:p>
        </w:tc>
        <w:tc>
          <w:tcPr>
            <w:tcW w:type="dxa" w:w="2880"/>
          </w:tcPr>
          <w:p>
            <w:r>
              <w:t>Identify and prevent concentration risk. Document exit strategies. Avoid vendor lock-in.</w:t>
            </w:r>
          </w:p>
        </w:tc>
      </w:tr>
      <w:tr>
        <w:tc>
          <w:tcPr>
            <w:tcW w:type="dxa" w:w="2880"/>
          </w:tcPr>
          <w:p>
            <w:r>
              <w:t>Article 30</w:t>
            </w:r>
          </w:p>
        </w:tc>
        <w:tc>
          <w:tcPr>
            <w:tcW w:type="dxa" w:w="2880"/>
          </w:tcPr>
          <w:p>
            <w:r>
              <w:t>ICT Third-Party Risk Management</w:t>
            </w:r>
          </w:p>
        </w:tc>
        <w:tc>
          <w:tcPr>
            <w:tcW w:type="dxa" w:w="2880"/>
          </w:tcPr>
          <w:p>
            <w:r>
              <w:t>Assess and monitor third-party ICT service providers. Maintain register of providers.</w:t>
            </w:r>
          </w:p>
        </w:tc>
      </w:tr>
      <w:tr>
        <w:tc>
          <w:tcPr>
            <w:tcW w:type="dxa" w:w="2880"/>
          </w:tcPr>
          <w:p>
            <w:r>
              <w:t>Article 11</w:t>
            </w:r>
          </w:p>
        </w:tc>
        <w:tc>
          <w:tcPr>
            <w:tcW w:type="dxa" w:w="2880"/>
          </w:tcPr>
          <w:p>
            <w:r>
              <w:t>Incident Reporting</w:t>
            </w:r>
          </w:p>
        </w:tc>
        <w:tc>
          <w:tcPr>
            <w:tcW w:type="dxa" w:w="2880"/>
          </w:tcPr>
          <w:p>
            <w:r>
              <w:t>Report significant ICT-related incidents to competent authorities</w:t>
            </w:r>
          </w:p>
        </w:tc>
      </w:tr>
    </w:tbl>
    <w:p>
      <w:r>
        <w:br w:type="page"/>
      </w:r>
    </w:p>
    <w:p>
      <w:pPr>
        <w:pStyle w:val="Heading1"/>
      </w:pPr>
      <w:r>
        <w:t>Appendix D: Contact Information and Resources</w:t>
      </w:r>
    </w:p>
    <w:p>
      <w:pPr>
        <w:pStyle w:val="Heading2"/>
      </w:pPr>
      <w:r>
        <w:t>Key Contacts</w:t>
      </w:r>
    </w:p>
    <w:tbl>
      <w:tblPr>
        <w:tblStyle w:val="LightGrid-Accent1"/>
        <w:tblW w:type="auto" w:w="0"/>
        <w:tblLook w:firstColumn="1" w:firstRow="1" w:lastColumn="0" w:lastRow="0" w:noHBand="0" w:noVBand="1" w:val="04A0"/>
      </w:tblPr>
      <w:tblGrid>
        <w:gridCol w:w="2880"/>
        <w:gridCol w:w="2880"/>
        <w:gridCol w:w="2880"/>
      </w:tblGrid>
      <w:tr>
        <w:tc>
          <w:tcPr>
            <w:tcW w:type="dxa" w:w="2880"/>
            <w:shd w:fill="2E75B6"/>
          </w:tcPr>
          <w:p>
            <w:pPr>
              <w:jc w:val="center"/>
            </w:pPr>
            <w:r>
              <w:rPr>
                <w:rFonts w:ascii="Arial" w:hAnsi="Arial"/>
                <w:b/>
                <w:color w:val="FFFFFF"/>
                <w:sz w:val="20"/>
              </w:rPr>
              <w:t>Role</w:t>
            </w:r>
          </w:p>
        </w:tc>
        <w:tc>
          <w:tcPr>
            <w:tcW w:type="dxa" w:w="2880"/>
            <w:shd w:fill="2E75B6"/>
          </w:tcPr>
          <w:p>
            <w:pPr>
              <w:jc w:val="center"/>
            </w:pPr>
            <w:r>
              <w:rPr>
                <w:rFonts w:ascii="Arial" w:hAnsi="Arial"/>
                <w:b/>
                <w:color w:val="FFFFFF"/>
                <w:sz w:val="20"/>
              </w:rPr>
              <w:t>Department</w:t>
            </w:r>
          </w:p>
        </w:tc>
        <w:tc>
          <w:tcPr>
            <w:tcW w:type="dxa" w:w="2880"/>
            <w:shd w:fill="2E75B6"/>
          </w:tcPr>
          <w:p>
            <w:pPr>
              <w:jc w:val="center"/>
            </w:pPr>
            <w:r>
              <w:rPr>
                <w:rFonts w:ascii="Arial" w:hAnsi="Arial"/>
                <w:b/>
                <w:color w:val="FFFFFF"/>
                <w:sz w:val="20"/>
              </w:rPr>
              <w:t>Responsibility</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CTO</w:t>
            </w:r>
          </w:p>
        </w:tc>
        <w:tc>
          <w:tcPr>
            <w:tcW w:type="dxa" w:w="2880"/>
          </w:tcPr>
          <w:p>
            <w:r>
              <w:t>Technology</w:t>
            </w:r>
          </w:p>
        </w:tc>
        <w:tc>
          <w:tcPr>
            <w:tcW w:type="dxa" w:w="2880"/>
          </w:tcPr>
          <w:p>
            <w:r>
              <w:t>Overall DORA compliance and ICT risk management</w:t>
            </w:r>
          </w:p>
        </w:tc>
      </w:tr>
      <w:tr>
        <w:tc>
          <w:tcPr>
            <w:tcW w:type="dxa" w:w="2880"/>
          </w:tcPr>
          <w:p>
            <w:r>
              <w:t>VP Infrastructure</w:t>
            </w:r>
          </w:p>
        </w:tc>
        <w:tc>
          <w:tcPr>
            <w:tcW w:type="dxa" w:w="2880"/>
          </w:tcPr>
          <w:p>
            <w:r>
              <w:t>Infrastructure</w:t>
            </w:r>
          </w:p>
        </w:tc>
        <w:tc>
          <w:tcPr>
            <w:tcW w:type="dxa" w:w="2880"/>
          </w:tcPr>
          <w:p>
            <w:r>
              <w:t>Decision tree framework and resilience strategy</w:t>
            </w:r>
          </w:p>
        </w:tc>
      </w:tr>
      <w:tr>
        <w:tc>
          <w:tcPr>
            <w:tcW w:type="dxa" w:w="2880"/>
          </w:tcPr>
          <w:p>
            <w:r>
              <w:t>DORA Compliance Officer</w:t>
            </w:r>
          </w:p>
        </w:tc>
        <w:tc>
          <w:tcPr>
            <w:tcW w:type="dxa" w:w="2880"/>
          </w:tcPr>
          <w:p>
            <w:r>
              <w:t>Risk &amp; Compliance</w:t>
            </w:r>
          </w:p>
        </w:tc>
        <w:tc>
          <w:tcPr>
            <w:tcW w:type="dxa" w:w="2880"/>
          </w:tcPr>
          <w:p>
            <w:r>
              <w:t>DORA regulatory compliance and reporting</w:t>
            </w:r>
          </w:p>
        </w:tc>
      </w:tr>
      <w:tr>
        <w:tc>
          <w:tcPr>
            <w:tcW w:type="dxa" w:w="2880"/>
          </w:tcPr>
          <w:p>
            <w:r>
              <w:t>Director Cloud Operations</w:t>
            </w:r>
          </w:p>
        </w:tc>
        <w:tc>
          <w:tcPr>
            <w:tcW w:type="dxa" w:w="2880"/>
          </w:tcPr>
          <w:p>
            <w:r>
              <w:t>Cloud Operations</w:t>
            </w:r>
          </w:p>
        </w:tc>
        <w:tc>
          <w:tcPr>
            <w:tcW w:type="dxa" w:w="2880"/>
          </w:tcPr>
          <w:p>
            <w:r>
              <w:t>Tier 2 approvals and operational implementation</w:t>
            </w:r>
          </w:p>
        </w:tc>
      </w:tr>
      <w:tr>
        <w:tc>
          <w:tcPr>
            <w:tcW w:type="dxa" w:w="2880"/>
          </w:tcPr>
          <w:p>
            <w:r>
              <w:t>Senior Cloud Architect</w:t>
            </w:r>
          </w:p>
        </w:tc>
        <w:tc>
          <w:tcPr>
            <w:tcW w:type="dxa" w:w="2880"/>
          </w:tcPr>
          <w:p>
            <w:r>
              <w:t>Architecture</w:t>
            </w:r>
          </w:p>
        </w:tc>
        <w:tc>
          <w:tcPr>
            <w:tcW w:type="dxa" w:w="2880"/>
          </w:tcPr>
          <w:p>
            <w:r>
              <w:t>Technical assessments and Tier 3 approvals</w:t>
            </w:r>
          </w:p>
        </w:tc>
      </w:tr>
      <w:tr>
        <w:tc>
          <w:tcPr>
            <w:tcW w:type="dxa" w:w="2880"/>
          </w:tcPr>
          <w:p>
            <w:r>
              <w:t>Third-Party Risk Manager</w:t>
            </w:r>
          </w:p>
        </w:tc>
        <w:tc>
          <w:tcPr>
            <w:tcW w:type="dxa" w:w="2880"/>
          </w:tcPr>
          <w:p>
            <w:r>
              <w:t>Risk Management</w:t>
            </w:r>
          </w:p>
        </w:tc>
        <w:tc>
          <w:tcPr>
            <w:tcW w:type="dxa" w:w="2880"/>
          </w:tcPr>
          <w:p>
            <w:r>
              <w:t>ICT third-party provider assessments</w:t>
            </w:r>
          </w:p>
        </w:tc>
      </w:tr>
    </w:tbl>
    <w:p>
      <w:pPr>
        <w:pStyle w:val="Heading2"/>
      </w:pPr>
      <w:r>
        <w:t>Additional Resources</w:t>
      </w:r>
    </w:p>
    <w:p>
      <w:pPr>
        <w:pStyle w:val="ListBullet"/>
      </w:pPr>
      <w:r>
        <w:rPr>
          <w:b/>
        </w:rPr>
        <w:t xml:space="preserve">ICT Risk Register: </w:t>
      </w:r>
      <w:r>
        <w:t>[Internal Portal URL - To be established]</w:t>
      </w:r>
    </w:p>
    <w:p>
      <w:pPr>
        <w:pStyle w:val="ListBullet"/>
      </w:pPr>
      <w:r>
        <w:rPr>
          <w:b/>
        </w:rPr>
        <w:t xml:space="preserve">Cloud Deployment Registry: </w:t>
      </w:r>
      <w:r>
        <w:t>[Internal Portal URL - To be established]</w:t>
      </w:r>
    </w:p>
    <w:p>
      <w:pPr>
        <w:pStyle w:val="ListBullet"/>
      </w:pPr>
      <w:r>
        <w:rPr>
          <w:b/>
        </w:rPr>
        <w:t xml:space="preserve">DORA Compliance Portal: </w:t>
      </w:r>
      <w:r>
        <w:t>[Internal compliance documentation]</w:t>
      </w:r>
    </w:p>
    <w:p>
      <w:pPr>
        <w:pStyle w:val="ListBullet"/>
      </w:pPr>
      <w:r>
        <w:rPr>
          <w:b/>
        </w:rPr>
        <w:t xml:space="preserve">AWS Regions Documentation: </w:t>
      </w:r>
      <w:r>
        <w:t>https://aws.amazon.com/about-aws/global-infrastructure/</w:t>
      </w:r>
    </w:p>
    <w:p>
      <w:pPr>
        <w:pStyle w:val="ListBullet"/>
      </w:pPr>
      <w:r>
        <w:rPr>
          <w:b/>
        </w:rPr>
        <w:t xml:space="preserve">Azure Regions Documentation: </w:t>
      </w:r>
      <w:r>
        <w:t>https://azure.microsoft.com/en-us/explore/global-infrastructure/</w:t>
      </w:r>
    </w:p>
    <w:p>
      <w:pPr>
        <w:pStyle w:val="ListBullet"/>
      </w:pPr>
      <w:r>
        <w:rPr>
          <w:b/>
        </w:rPr>
        <w:t xml:space="preserve">DORA Official Text: </w:t>
      </w:r>
      <w:r>
        <w:t>https://eur-lex.europa.eu/legal-content/EN/TXT/?uri=CELEX:32022R2554</w:t>
      </w:r>
    </w:p>
    <w:p>
      <w:pPr>
        <w:pStyle w:val="ListBullet"/>
      </w:pPr>
      <w:r>
        <w:rPr>
          <w:b/>
        </w:rPr>
        <w:t xml:space="preserve">Disaster Recovery Playbooks: </w:t>
      </w:r>
      <w:r>
        <w:t>[DR documentation repository]</w:t>
      </w:r>
    </w:p>
    <w:p>
      <w:r>
        <w:br w:type="page"/>
      </w:r>
    </w:p>
    <w:p>
      <w:pPr>
        <w:pStyle w:val="Heading1"/>
      </w:pPr>
      <w:r>
        <w:t>Document Control</w:t>
      </w:r>
    </w:p>
    <w:p>
      <w:pPr>
        <w:pStyle w:val="Heading2"/>
      </w:pPr>
      <w:r>
        <w:t>Version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2E75B6"/>
          </w:tcPr>
          <w:p>
            <w:pPr>
              <w:jc w:val="center"/>
            </w:pPr>
            <w:r>
              <w:rPr>
                <w:rFonts w:ascii="Arial" w:hAnsi="Arial"/>
                <w:b/>
                <w:color w:val="FFFFFF"/>
                <w:sz w:val="20"/>
              </w:rPr>
              <w:t>Version</w:t>
            </w:r>
          </w:p>
        </w:tc>
        <w:tc>
          <w:tcPr>
            <w:tcW w:type="dxa" w:w="2160"/>
            <w:shd w:fill="2E75B6"/>
          </w:tcPr>
          <w:p>
            <w:pPr>
              <w:jc w:val="center"/>
            </w:pPr>
            <w:r>
              <w:rPr>
                <w:rFonts w:ascii="Arial" w:hAnsi="Arial"/>
                <w:b/>
                <w:color w:val="FFFFFF"/>
                <w:sz w:val="20"/>
              </w:rPr>
              <w:t>Date</w:t>
            </w:r>
          </w:p>
        </w:tc>
        <w:tc>
          <w:tcPr>
            <w:tcW w:type="dxa" w:w="2160"/>
            <w:shd w:fill="2E75B6"/>
          </w:tcPr>
          <w:p>
            <w:pPr>
              <w:jc w:val="center"/>
            </w:pPr>
            <w:r>
              <w:rPr>
                <w:rFonts w:ascii="Arial" w:hAnsi="Arial"/>
                <w:b/>
                <w:color w:val="FFFFFF"/>
                <w:sz w:val="20"/>
              </w:rPr>
              <w:t>Author</w:t>
            </w:r>
          </w:p>
        </w:tc>
        <w:tc>
          <w:tcPr>
            <w:tcW w:type="dxa" w:w="2160"/>
            <w:shd w:fill="2E75B6"/>
          </w:tcPr>
          <w:p>
            <w:pPr>
              <w:jc w:val="center"/>
            </w:pPr>
            <w:r>
              <w:rPr>
                <w:rFonts w:ascii="Arial" w:hAnsi="Arial"/>
                <w:b/>
                <w:color w:val="FFFFFF"/>
                <w:sz w:val="20"/>
              </w:rPr>
              <w:t>Changes</w:t>
            </w:r>
          </w:p>
        </w:tc>
      </w:tr>
      <w:tr>
        <w:tc>
          <w:tcPr>
            <w:tcW w:type="dxa" w:w="2160"/>
          </w:tcPr>
          <w:p>
            <w:pPr>
              <w:jc w:val="center"/>
            </w:pPr>
            <w:r>
              <w:t>1.0</w:t>
            </w:r>
          </w:p>
        </w:tc>
        <w:tc>
          <w:tcPr>
            <w:tcW w:type="dxa" w:w="2160"/>
          </w:tcPr>
          <w:p>
            <w:pPr>
              <w:jc w:val="center"/>
            </w:pPr>
            <w:r>
              <w:t>Dec 2025</w:t>
            </w:r>
          </w:p>
        </w:tc>
        <w:tc>
          <w:tcPr>
            <w:tcW w:type="dxa" w:w="2160"/>
          </w:tcPr>
          <w:p>
            <w:r>
              <w:t>Cloud Architecture Team</w:t>
            </w:r>
          </w:p>
        </w:tc>
        <w:tc>
          <w:tcPr>
            <w:tcW w:type="dxa" w:w="2160"/>
          </w:tcPr>
          <w:p>
            <w:r>
              <w:t>Initial release addressing DORA audit recommendation</w:t>
            </w:r>
          </w:p>
        </w:tc>
      </w:tr>
    </w:tbl>
    <w:p>
      <w:pPr>
        <w:pStyle w:val="Heading2"/>
      </w:pPr>
      <w:r>
        <w:t>Review and Approval</w:t>
      </w:r>
    </w:p>
    <w:tbl>
      <w:tblPr>
        <w:tblStyle w:val="LightGrid-Accent1"/>
        <w:tblW w:type="auto" w:w="0"/>
        <w:tblLook w:firstColumn="1" w:firstRow="1" w:lastColumn="0" w:lastRow="0" w:noHBand="0" w:noVBand="1" w:val="04A0"/>
      </w:tblPr>
      <w:tblGrid>
        <w:gridCol w:w="2880"/>
        <w:gridCol w:w="2880"/>
        <w:gridCol w:w="2880"/>
      </w:tblGrid>
      <w:tr>
        <w:tc>
          <w:tcPr>
            <w:tcW w:type="dxa" w:w="2880"/>
            <w:shd w:fill="2E75B6"/>
          </w:tcPr>
          <w:p>
            <w:pPr>
              <w:jc w:val="center"/>
            </w:pPr>
            <w:r>
              <w:rPr>
                <w:rFonts w:ascii="Arial" w:hAnsi="Arial"/>
                <w:b/>
                <w:color w:val="FFFFFF"/>
                <w:sz w:val="20"/>
              </w:rPr>
              <w:t>Role</w:t>
            </w:r>
          </w:p>
        </w:tc>
        <w:tc>
          <w:tcPr>
            <w:tcW w:type="dxa" w:w="2880"/>
            <w:shd w:fill="2E75B6"/>
          </w:tcPr>
          <w:p>
            <w:pPr>
              <w:jc w:val="center"/>
            </w:pPr>
            <w:r>
              <w:rPr>
                <w:rFonts w:ascii="Arial" w:hAnsi="Arial"/>
                <w:b/>
                <w:color w:val="FFFFFF"/>
                <w:sz w:val="20"/>
              </w:rPr>
              <w:t>Name</w:t>
            </w:r>
          </w:p>
        </w:tc>
        <w:tc>
          <w:tcPr>
            <w:tcW w:type="dxa" w:w="2880"/>
            <w:shd w:fill="2E75B6"/>
          </w:tcPr>
          <w:p>
            <w:pPr>
              <w:jc w:val="center"/>
            </w:pPr>
            <w:r>
              <w:rPr>
                <w:rFonts w:ascii="Arial" w:hAnsi="Arial"/>
                <w:b/>
                <w:color w:val="FFFFFF"/>
                <w:sz w:val="20"/>
              </w:rPr>
              <w:t>Signature/Date</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rPr>
                <w:b/>
              </w:rPr>
              <w:t>Prepared by:</w:t>
            </w:r>
          </w:p>
        </w:tc>
        <w:tc>
          <w:tcPr>
            <w:tcW w:type="dxa" w:w="2880"/>
          </w:tcPr>
          <w:p>
            <w:r>
              <w:t>Senior Lead Cloud Architect</w:t>
            </w:r>
          </w:p>
        </w:tc>
        <w:tc>
          <w:tcPr>
            <w:tcW w:type="dxa" w:w="2880"/>
          </w:tcPr>
          <w:p>
            <w:r>
              <w:t>_________________</w:t>
            </w:r>
          </w:p>
        </w:tc>
      </w:tr>
      <w:tr>
        <w:tc>
          <w:tcPr>
            <w:tcW w:type="dxa" w:w="2880"/>
          </w:tcPr>
          <w:p>
            <w:r>
              <w:rPr>
                <w:b/>
              </w:rPr>
              <w:t>Reviewed by:</w:t>
            </w:r>
          </w:p>
        </w:tc>
        <w:tc>
          <w:tcPr>
            <w:tcW w:type="dxa" w:w="2880"/>
          </w:tcPr>
          <w:p>
            <w:r>
              <w:t>VP Infrastructure</w:t>
            </w:r>
          </w:p>
        </w:tc>
        <w:tc>
          <w:tcPr>
            <w:tcW w:type="dxa" w:w="2880"/>
          </w:tcPr>
          <w:p>
            <w:r>
              <w:t>_________________</w:t>
            </w:r>
          </w:p>
        </w:tc>
      </w:tr>
      <w:tr>
        <w:tc>
          <w:tcPr>
            <w:tcW w:type="dxa" w:w="2880"/>
          </w:tcPr>
          <w:p>
            <w:r>
              <w:rPr>
                <w:b/>
              </w:rPr>
              <w:t>Reviewed by:</w:t>
            </w:r>
          </w:p>
        </w:tc>
        <w:tc>
          <w:tcPr>
            <w:tcW w:type="dxa" w:w="2880"/>
          </w:tcPr>
          <w:p>
            <w:r>
              <w:t>DORA Compliance Officer</w:t>
            </w:r>
          </w:p>
        </w:tc>
        <w:tc>
          <w:tcPr>
            <w:tcW w:type="dxa" w:w="2880"/>
          </w:tcPr>
          <w:p>
            <w:r>
              <w:t>_________________</w:t>
            </w:r>
          </w:p>
        </w:tc>
      </w:tr>
      <w:tr>
        <w:tc>
          <w:tcPr>
            <w:tcW w:type="dxa" w:w="2880"/>
          </w:tcPr>
          <w:p>
            <w:r>
              <w:rPr>
                <w:b/>
              </w:rPr>
              <w:t>Approved by:</w:t>
            </w:r>
          </w:p>
        </w:tc>
        <w:tc>
          <w:tcPr>
            <w:tcW w:type="dxa" w:w="2880"/>
          </w:tcPr>
          <w:p>
            <w:r>
              <w:t>CTO</w:t>
            </w:r>
          </w:p>
        </w:tc>
        <w:tc>
          <w:tcPr>
            <w:tcW w:type="dxa" w:w="2880"/>
          </w:tcPr>
          <w:p>
            <w:r>
              <w:t>_________________</w:t>
            </w:r>
          </w:p>
        </w:tc>
      </w:tr>
    </w:tbl>
    <w:p/>
    <w:p>
      <w:pPr>
        <w:jc w:val="center"/>
      </w:pPr>
      <w:r>
        <w:rPr>
          <w:b/>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E75B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E75B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