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48"/>
        </w:rPr>
        <w:t>Cloud Workload Placement Decision Tree</w:t>
      </w:r>
    </w:p>
    <w:p>
      <w:pPr>
        <w:jc w:val="center"/>
      </w:pPr>
      <w:r>
        <w:rPr>
          <w:b/>
          <w:color w:val="44546A"/>
          <w:sz w:val="28"/>
        </w:rPr>
        <w:t>Design Evaluation Framework for Regional Deployment</w:t>
      </w:r>
    </w:p>
    <w:p/>
    <w:p/>
    <w:p>
      <w:pPr>
        <w:jc w:val="center"/>
      </w:pPr>
      <w:r>
        <w:rPr>
          <w:i/>
        </w:rPr>
        <w:t>Document Version: 2.0 - CTO Team Edition</w:t>
      </w:r>
    </w:p>
    <w:p>
      <w:pPr>
        <w:jc w:val="center"/>
      </w:pPr>
      <w:r>
        <w:rPr>
          <w:i/>
        </w:rPr>
        <w:t>Date: January 2026</w:t>
      </w:r>
    </w:p>
    <w:p>
      <w:pPr>
        <w:jc w:val="center"/>
      </w:pPr>
      <w:r>
        <w:rPr>
          <w:b/>
          <w:color w:val="C00000"/>
        </w:rPr>
        <w:t>Classification: Internal Use Only</w:t>
      </w:r>
    </w:p>
    <w:p>
      <w:r>
        <w:br w:type="page"/>
      </w:r>
    </w:p>
    <w:p>
      <w:pPr>
        <w:pStyle w:val="Heading1"/>
      </w:pPr>
      <w:r>
        <w:t>1. Introduction</w:t>
      </w:r>
    </w:p>
    <w:p>
      <w:pPr>
        <w:pStyle w:val="Heading2"/>
      </w:pPr>
      <w:r>
        <w:t>1.1 Purpose</w:t>
      </w:r>
    </w:p>
    <w:p>
      <w:r>
        <w:t>This decision tree framework provides a systematic approach for Solutions Architects to evaluate and validate cloud workload placement decisions during the design phase. The framework ensures that regional deployment choices are made based on comprehensive analysis of technical, regulatory, performance, and risk factors.</w:t>
      </w:r>
    </w:p>
    <w:p>
      <w:r>
        <w:t>By following this structured evaluation process, the organization maintains operational resilience, optimizes performance and cost, and mitigates concentration risk across our multi-cloud infrastructure.</w:t>
      </w:r>
    </w:p>
    <w:p>
      <w:pPr>
        <w:pStyle w:val="Heading2"/>
      </w:pPr>
      <w:r>
        <w:t>1.2 Scope</w:t>
      </w:r>
    </w:p>
    <w:p>
      <w:r>
        <w:t>This framework applies to all cloud workload deployments, including:</w:t>
      </w:r>
    </w:p>
    <w:p>
      <w:pPr>
        <w:pStyle w:val="ListBullet"/>
      </w:pPr>
      <w:r>
        <w:t>• New application deployments</w:t>
      </w:r>
    </w:p>
    <w:p>
      <w:pPr>
        <w:pStyle w:val="ListBullet"/>
      </w:pPr>
      <w:r>
        <w:t>• Application migrations between regions or providers</w:t>
      </w:r>
    </w:p>
    <w:p>
      <w:pPr>
        <w:pStyle w:val="ListBullet"/>
      </w:pPr>
      <w:r>
        <w:t>• Workload relocations or consolidations</w:t>
      </w:r>
    </w:p>
    <w:p>
      <w:pPr>
        <w:pStyle w:val="ListBullet"/>
      </w:pPr>
      <w:r>
        <w:t>• Disaster Recovery and Business Continuity planning</w:t>
      </w:r>
    </w:p>
    <w:p>
      <w:pPr>
        <w:pStyle w:val="ListBullet"/>
      </w:pPr>
      <w:r>
        <w:t>• Infrastructure expansion and scaling decisions</w:t>
      </w:r>
    </w:p>
    <w:p>
      <w:pPr>
        <w:pStyle w:val="Heading2"/>
      </w:pPr>
      <w:r>
        <w:t>1.3 Concentration Risk Management</w:t>
      </w:r>
    </w:p>
    <w:p>
      <w:r>
        <w:t>A critical objective of this framework is to prevent excessive concentration of workloads in any single cloud provider, geographic region, or availability zone. Concentration risk occurs when too many critical services depend on a single point of failure, creating vulnerability to regional outages, provider-specific issues, or geopolitical events.</w:t>
      </w:r>
    </w:p>
    <w:p>
      <w:r>
        <w:t>By systematically evaluating workload distribution during design, we ensure that no single failure point can compromise a significant portion of our operations. This proactive approach to concentration risk management strengthens our overall operational resilience posture.</w:t>
      </w:r>
    </w:p>
    <w:p>
      <w:pPr>
        <w:pStyle w:val="Heading2"/>
      </w:pPr>
      <w:r>
        <w:t>1.4 When to Use This Framework</w:t>
      </w:r>
    </w:p>
    <w:p>
      <w:r>
        <w:t>Solutions Architects must complete this evaluation for:</w:t>
      </w:r>
    </w:p>
    <w:p>
      <w:pPr>
        <w:pStyle w:val="ListBullet"/>
      </w:pPr>
      <w:r>
        <w:t>• Every new workload deployment (mandatory)</w:t>
      </w:r>
    </w:p>
    <w:p>
      <w:pPr>
        <w:pStyle w:val="ListBullet"/>
      </w:pPr>
      <w:r>
        <w:t>• Any migration or relocation of existing workloads</w:t>
      </w:r>
    </w:p>
    <w:p>
      <w:pPr>
        <w:pStyle w:val="ListBullet"/>
      </w:pPr>
      <w:r>
        <w:t>• Changes to multi-region or high-availability configurations</w:t>
      </w:r>
    </w:p>
    <w:p>
      <w:pPr>
        <w:pStyle w:val="ListBullet"/>
      </w:pPr>
      <w:r>
        <w:t>• Quarterly reviews of critical application deployments</w:t>
      </w:r>
    </w:p>
    <w:p>
      <w:pPr>
        <w:pStyle w:val="ListBullet"/>
      </w:pPr>
      <w:r>
        <w:t>• When concentration monitoring alerts indicate elevated risk levels</w:t>
      </w:r>
    </w:p>
    <w:p>
      <w:r>
        <w:br w:type="page"/>
      </w:r>
    </w:p>
    <w:p>
      <w:pPr>
        <w:pStyle w:val="Heading1"/>
      </w:pPr>
      <w:r>
        <w:t>2. Cloud Workload Placement Decision Tree</w:t>
      </w:r>
    </w:p>
    <w:p>
      <w:r>
        <w:t>The following decision tree provides six sequential evaluation steps. Each step must be completed in order, as earlier decisions constrain options for subsequent steps. Document your responses to each question to create an audit trail of the decision-making process.</w:t>
      </w:r>
    </w:p>
    <w:p>
      <w:r>
        <w:t>The framework is designed to balance multiple competing priorities: regulatory compliance, performance requirements, technical feasibility, operational risk, and cost optimization.</w:t>
      </w:r>
    </w:p>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Step</w:t>
            </w:r>
          </w:p>
        </w:tc>
        <w:tc>
          <w:tcPr>
            <w:tcW w:type="dxa" w:w="4320"/>
            <w:shd w:fill="2E75B6"/>
          </w:tcPr>
          <w:p>
            <w:pPr>
              <w:jc w:val="center"/>
            </w:pPr>
            <w:r>
              <w:rPr>
                <w:rFonts w:ascii="Arial" w:hAnsi="Arial"/>
                <w:b/>
                <w:color w:val="FFFFFF"/>
                <w:sz w:val="20"/>
              </w:rPr>
              <w:t>Evaluation Criteria and Decision Logic</w:t>
            </w:r>
          </w:p>
        </w:tc>
      </w:tr>
      <w:tr>
        <w:tc>
          <w:tcPr>
            <w:tcW w:type="dxa" w:w="4320"/>
          </w:tcPr>
          <w:p>
            <w:r>
              <w:t>STEP 1:</w:t>
              <w:br/>
              <w:t>Data Sovereignty &amp;</w:t>
              <w:br/>
              <w:t>Regulatory Compliance</w:t>
            </w:r>
          </w:p>
        </w:tc>
        <w:tc>
          <w:tcPr>
            <w:tcW w:type="dxa" w:w="4320"/>
          </w:tcPr>
          <w:p>
            <w:r>
              <w:rPr>
                <w:b/>
              </w:rPr>
              <w:t xml:space="preserve">Question: </w:t>
            </w:r>
            <w:r>
              <w:t>Is this workload subject to data protection regulations, industry-specific compliance requirements, or data residency mandates?</w:t>
              <w:br/>
              <w:br/>
            </w:r>
            <w:r>
              <w:rPr>
                <w:b/>
              </w:rPr>
              <w:t>Evaluation Checklist:</w:t>
              <w:br/>
            </w:r>
            <w:r>
              <w:t>□ Does the workload process personal data subject to privacy regulations (e.g., GDPR, LGPD, PDPA)?</w:t>
              <w:br/>
            </w:r>
            <w:r>
              <w:t>□ Are there industry-specific regulatory requirements (e.g., financial services, healthcare, government)?</w:t>
              <w:br/>
            </w:r>
            <w:r>
              <w:t>□ Do contractual obligations impose data residency or sovereignty requirements?</w:t>
              <w:br/>
            </w:r>
            <w:r>
              <w:t>□ Are there geopolitical considerations affecting data location?</w:t>
              <w:br/>
              <w:br/>
            </w:r>
            <w:r>
              <w:rPr>
                <w:b/>
              </w:rPr>
              <w:t>Decision Logic:</w:t>
              <w:br/>
            </w:r>
            <w:r>
              <w:rPr>
                <w:color w:val="C00000"/>
              </w:rPr>
              <w:t xml:space="preserve">IF </w:t>
            </w:r>
            <w:r>
              <w:t xml:space="preserve">regulatory requirements exist → </w:t>
            </w:r>
            <w:r>
              <w:rPr>
                <w:color w:val="C00000"/>
              </w:rPr>
              <w:t>Filter regions to only those meeting compliance requirements</w:t>
              <w:br/>
            </w:r>
            <w:r>
              <w:rPr>
                <w:color w:val="70AD47"/>
              </w:rPr>
              <w:t xml:space="preserve">IF </w:t>
            </w:r>
            <w:r>
              <w:t xml:space="preserve">no regulatory restrictions → </w:t>
            </w:r>
            <w:r>
              <w:rPr>
                <w:color w:val="70AD47"/>
              </w:rPr>
              <w:t>All approved regions available for consideration</w:t>
              <w:br/>
              <w:br/>
            </w:r>
            <w:r>
              <w:rPr>
                <w:b/>
              </w:rPr>
              <w:t xml:space="preserve">Action: </w:t>
            </w:r>
            <w:r>
              <w:t>Document regulatory requirements and compliant regions. Engage Legal/Compliance for ambiguous cases.</w:t>
            </w:r>
          </w:p>
        </w:tc>
      </w:tr>
      <w:tr>
        <w:tc>
          <w:tcPr>
            <w:tcW w:type="dxa" w:w="4320"/>
          </w:tcPr>
          <w:p>
            <w:r>
              <w:t>STEP 2:</w:t>
              <w:br/>
              <w:t>Latency &amp;</w:t>
              <w:br/>
              <w:t>Performance Requirements</w:t>
            </w:r>
          </w:p>
        </w:tc>
        <w:tc>
          <w:tcPr>
            <w:tcW w:type="dxa" w:w="4320"/>
          </w:tcPr>
          <w:p>
            <w:r>
              <w:rPr>
                <w:b/>
              </w:rPr>
              <w:t xml:space="preserve">Question: </w:t>
            </w:r>
            <w:r>
              <w:t>What are the performance and latency requirements based on target users and critical resources?</w:t>
              <w:br/>
              <w:br/>
            </w:r>
            <w:r>
              <w:rPr>
                <w:b/>
              </w:rPr>
              <w:t>Evaluation Factors:</w:t>
              <w:br/>
            </w:r>
            <w:r>
              <w:t>• Latency sensitivity: Real-time, interactive, or batch processing?</w:t>
              <w:br/>
            </w:r>
            <w:r>
              <w:t>• Target user locations: Primary geographic distribution of users</w:t>
              <w:br/>
            </w:r>
            <w:r>
              <w:t>• Critical resource proximity: Databases, APIs, external dependencies</w:t>
              <w:br/>
            </w:r>
            <w:r>
              <w:t>• Network bandwidth requirements: High-throughput data transfer needs</w:t>
              <w:br/>
              <w:br/>
            </w:r>
            <w:r>
              <w:rPr>
                <w:b/>
              </w:rPr>
              <w:t>Decision Guidelines:</w:t>
              <w:br/>
            </w:r>
            <w:r>
              <w:rPr>
                <w:b/>
              </w:rPr>
              <w:t xml:space="preserve">Latency &lt; 50ms required: </w:t>
            </w:r>
            <w:r>
              <w:t>Deploy in region closest to users/data sources</w:t>
              <w:br/>
            </w:r>
            <w:r>
              <w:rPr>
                <w:b/>
              </w:rPr>
              <w:t xml:space="preserve">Latency 50-100ms acceptable: </w:t>
            </w:r>
            <w:r>
              <w:t>Balance proximity with cost and resilience factors</w:t>
              <w:br/>
            </w:r>
            <w:r>
              <w:rPr>
                <w:b/>
              </w:rPr>
              <w:t xml:space="preserve">Latency &gt; 100ms acceptable: </w:t>
            </w:r>
            <w:r>
              <w:t>Prioritize cost optimization and operational efficiency</w:t>
              <w:br/>
              <w:br/>
            </w:r>
            <w:r>
              <w:rPr>
                <w:b/>
                <w:i/>
                <w:color w:val="FF8C00"/>
              </w:rPr>
              <w:t xml:space="preserve">Note: </w:t>
            </w:r>
            <w:r>
              <w:rPr>
                <w:i/>
                <w:color w:val="FF8C00"/>
              </w:rPr>
              <w:t>The latency thresholds shown (50ms, 100ms) are examples. Acceptable thresholds will vary based on the specific requirements of the project under evaluation. Define appropriate thresholds based on user experience requirements and application architecture.</w:t>
            </w:r>
          </w:p>
        </w:tc>
      </w:tr>
      <w:tr>
        <w:tc>
          <w:tcPr>
            <w:tcW w:type="dxa" w:w="4320"/>
          </w:tcPr>
          <w:p>
            <w:r>
              <w:t>STEP 3:</w:t>
              <w:br/>
              <w:t>Technical Dependencies</w:t>
              <w:br/>
              <w:t>&amp; Service Availability</w:t>
            </w:r>
          </w:p>
        </w:tc>
        <w:tc>
          <w:tcPr>
            <w:tcW w:type="dxa" w:w="4320"/>
          </w:tcPr>
          <w:p>
            <w:r>
              <w:rPr>
                <w:b/>
              </w:rPr>
              <w:t xml:space="preserve">Question: </w:t>
            </w:r>
            <w:r>
              <w:t>Are all required cloud services, integrations, and technical dependencies available in the candidate region(s)?</w:t>
              <w:br/>
              <w:br/>
            </w:r>
            <w:r>
              <w:rPr>
                <w:b/>
              </w:rPr>
              <w:t>Verification Checklist:</w:t>
              <w:br/>
            </w:r>
            <w:r>
              <w:t>□ Required cloud services available (compute, storage, databases, managed services)</w:t>
              <w:br/>
            </w:r>
            <w:r>
              <w:t>□ Integration points accessible (existing systems, databases, message queues)</w:t>
              <w:br/>
            </w:r>
            <w:r>
              <w:t>□ Provider SLA meets operational requirements for workload tier</w:t>
              <w:br/>
            </w:r>
            <w:r>
              <w:t>□ Network connectivity suitable (Direct Connect, VPN, internet egress)</w:t>
              <w:br/>
            </w:r>
            <w:r>
              <w:t>□ Third-party dependencies accessible (SaaS integrations, external APIs)</w:t>
              <w:br/>
            </w:r>
            <w:r>
              <w:t>□ Specific features or instance types required are available</w:t>
              <w:br/>
              <w:br/>
            </w:r>
            <w:r>
              <w:rPr>
                <w:b/>
              </w:rPr>
              <w:t>Decision Logic:</w:t>
              <w:br/>
            </w:r>
            <w:r>
              <w:rPr>
                <w:color w:val="C00000"/>
              </w:rPr>
              <w:t xml:space="preserve">IF </w:t>
            </w:r>
            <w:r>
              <w:t xml:space="preserve">any critical requirement unavailable → </w:t>
            </w:r>
            <w:r>
              <w:rPr>
                <w:color w:val="C00000"/>
              </w:rPr>
              <w:t>Re-evaluate region selection or architectural approach</w:t>
              <w:br/>
            </w:r>
            <w:r>
              <w:rPr>
                <w:color w:val="70AD47"/>
              </w:rPr>
              <w:t xml:space="preserve">IF </w:t>
            </w:r>
            <w:r>
              <w:t xml:space="preserve">all requirements met → </w:t>
            </w:r>
            <w:r>
              <w:rPr>
                <w:color w:val="70AD47"/>
              </w:rPr>
              <w:t>Region is technically viable, proceed to next step</w:t>
              <w:br/>
              <w:br/>
            </w:r>
            <w:r>
              <w:rPr>
                <w:b/>
              </w:rPr>
              <w:t xml:space="preserve">Action: </w:t>
            </w:r>
            <w:r>
              <w:t>Verify service availability in AWS/Azure regional services lists. Test integration connectivity in non-production environment.</w:t>
            </w:r>
          </w:p>
        </w:tc>
      </w:tr>
      <w:tr>
        <w:tc>
          <w:tcPr>
            <w:tcW w:type="dxa" w:w="4320"/>
          </w:tcPr>
          <w:p>
            <w:r>
              <w:t>STEP 4:</w:t>
              <w:br/>
              <w:t>Approved Regions</w:t>
              <w:br/>
              <w:t>Inventory</w:t>
            </w:r>
          </w:p>
        </w:tc>
        <w:tc>
          <w:tcPr>
            <w:tcW w:type="dxa" w:w="4320"/>
          </w:tcPr>
          <w:p>
            <w:r>
              <w:rPr>
                <w:b/>
              </w:rPr>
              <w:t xml:space="preserve">Question: </w:t>
            </w:r>
            <w:r>
              <w:t>Is the candidate region in our approved and operational regions list?</w:t>
              <w:br/>
              <w:br/>
            </w:r>
            <w:r>
              <w:rPr>
                <w:b/>
              </w:rPr>
              <w:t>Current Approved Regions:</w:t>
              <w:br/>
            </w:r>
            <w:r>
              <w:t>• Azure: Amsterdam (West Europe)</w:t>
              <w:br/>
            </w:r>
            <w:r>
              <w:t>• AWS: Ireland (eu-west-1), London (eu-west-2)</w:t>
              <w:br/>
            </w:r>
            <w:r>
              <w:t>• AWS: Frankfurt (eu-central-1)</w:t>
              <w:br/>
            </w:r>
            <w:r>
              <w:t>• AWS: Virginia (us-east-1)</w:t>
              <w:br/>
            </w:r>
            <w:r>
              <w:t>• AWS: Madrid (eu-south-2)</w:t>
              <w:br/>
              <w:br/>
            </w:r>
            <w:r>
              <w:rPr>
                <w:b/>
                <w:i/>
                <w:color w:val="2E75B6"/>
              </w:rPr>
              <w:t xml:space="preserve">Note: </w:t>
            </w:r>
            <w:r>
              <w:rPr>
                <w:i/>
                <w:color w:val="2E75B6"/>
              </w:rPr>
              <w:t xml:space="preserve">The complete list of available deployable regions, including approval status and regional capabilities, can be found at: </w:t>
            </w:r>
            <w:r>
              <w:rPr>
                <w:i/>
                <w:color w:val="0000FF"/>
                <w:u w:val="single"/>
              </w:rPr>
              <w:t>https://example.com/approved-regions</w:t>
            </w:r>
            <w:r>
              <w:br/>
              <w:br/>
            </w:r>
            <w:r>
              <w:rPr>
                <w:b/>
              </w:rPr>
              <w:t>Decision Logic:</w:t>
              <w:br/>
            </w:r>
            <w:r>
              <w:rPr>
                <w:color w:val="70AD47"/>
              </w:rPr>
              <w:t xml:space="preserve">IF </w:t>
            </w:r>
            <w:r>
              <w:t xml:space="preserve">region is approved → </w:t>
            </w:r>
            <w:r>
              <w:rPr>
                <w:color w:val="70AD47"/>
              </w:rPr>
              <w:t>Proceed with evaluation</w:t>
              <w:br/>
            </w:r>
            <w:r>
              <w:rPr>
                <w:color w:val="FFC000"/>
              </w:rPr>
              <w:t xml:space="preserve">IF </w:t>
            </w:r>
            <w:r>
              <w:t xml:space="preserve">region requires special justification (Madrid, Virginia for new workloads) → </w:t>
            </w:r>
            <w:r>
              <w:rPr>
                <w:color w:val="FFC000"/>
              </w:rPr>
              <w:t>Document business case and obtain approval</w:t>
              <w:br/>
            </w:r>
            <w:r>
              <w:rPr>
                <w:color w:val="C00000"/>
              </w:rPr>
              <w:t xml:space="preserve">IF </w:t>
            </w:r>
            <w:r>
              <w:t xml:space="preserve">region not approved → </w:t>
            </w:r>
            <w:r>
              <w:rPr>
                <w:color w:val="C00000"/>
              </w:rPr>
              <w:t>Initiate region approval process (security review, network setup, 30-60 day timeline)</w:t>
              <w:br/>
              <w:br/>
            </w:r>
            <w:r>
              <w:rPr>
                <w:b/>
              </w:rPr>
              <w:t xml:space="preserve">Action: </w:t>
            </w:r>
            <w:r>
              <w:t>Verify region approval status. For new regions, assess if deployment timeline can accommodate approval process.</w:t>
            </w:r>
          </w:p>
        </w:tc>
      </w:tr>
      <w:tr>
        <w:tc>
          <w:tcPr>
            <w:tcW w:type="dxa" w:w="4320"/>
          </w:tcPr>
          <w:p>
            <w:r>
              <w:t>STEP 5:</w:t>
              <w:br/>
              <w:t>Workload Concentration</w:t>
              <w:br/>
              <w:t>Risk Assessment</w:t>
            </w:r>
          </w:p>
        </w:tc>
        <w:tc>
          <w:tcPr>
            <w:tcW w:type="dxa" w:w="4320"/>
          </w:tcPr>
          <w:p>
            <w:r>
              <w:rPr>
                <w:b/>
              </w:rPr>
              <w:t xml:space="preserve">Question: </w:t>
            </w:r>
            <w:r>
              <w:t>What percentage of our critical workloads will be concentrated in this region/provider after deployment?</w:t>
              <w:br/>
              <w:br/>
            </w:r>
            <w:r>
              <w:rPr>
                <w:b/>
              </w:rPr>
              <w:t>Calculation Method:</w:t>
              <w:br/>
            </w:r>
            <w:r>
              <w:t>1. Review current workload distribution across regions (consult concentration dashboard)</w:t>
              <w:br/>
            </w:r>
            <w:r>
              <w:t>2. Calculate: (Workloads in target region + new workload) / Total workloads = Concentration %</w:t>
              <w:br/>
            </w:r>
            <w:r>
              <w:t>3. Assess concentration at both region and provider levels</w:t>
              <w:br/>
              <w:br/>
            </w:r>
            <w:r>
              <w:rPr>
                <w:b/>
              </w:rPr>
              <w:t>Risk Thresholds:</w:t>
              <w:br/>
            </w:r>
            <w:r>
              <w:rPr>
                <w:b/>
                <w:color w:val="C00000"/>
              </w:rPr>
              <w:t xml:space="preserve">&gt; 60% concentration: </w:t>
            </w:r>
            <w:r>
              <w:t>CRITICAL RISK - Excessive concentration creates single point of failure</w:t>
              <w:br/>
            </w:r>
            <w:r>
              <w:t xml:space="preserve">  → Action: MUST select alternative region to diversify</w:t>
              <w:br/>
              <w:br/>
            </w:r>
            <w:r>
              <w:rPr>
                <w:b/>
                <w:color w:val="FFC000"/>
              </w:rPr>
              <w:t xml:space="preserve">40-60% concentration: </w:t>
            </w:r>
            <w:r>
              <w:t>HIGH RISK - Acceptable with documented mitigation strategy</w:t>
              <w:br/>
            </w:r>
            <w:r>
              <w:t xml:space="preserve">  → Action: Document exit strategy and enhanced DR plan</w:t>
              <w:br/>
              <w:br/>
            </w:r>
            <w:r>
              <w:rPr>
                <w:b/>
                <w:color w:val="70AD47"/>
              </w:rPr>
              <w:t xml:space="preserve">&lt; 40% concentration: </w:t>
            </w:r>
            <w:r>
              <w:t>ACCEPTABLE RISK - Well-distributed portfolio</w:t>
              <w:br/>
            </w:r>
            <w:r>
              <w:t xml:space="preserve">  → Action: Standard monitoring and documentation</w:t>
              <w:br/>
              <w:br/>
            </w:r>
            <w:r>
              <w:rPr>
                <w:b/>
              </w:rPr>
              <w:t xml:space="preserve">Action: </w:t>
            </w:r>
            <w:r>
              <w:t>Calculate concentration metrics. If exceeding thresholds, evaluate alternative regions or enhanced resilience measures.</w:t>
            </w:r>
          </w:p>
        </w:tc>
      </w:tr>
      <w:tr>
        <w:tc>
          <w:tcPr>
            <w:tcW w:type="dxa" w:w="4320"/>
          </w:tcPr>
          <w:p>
            <w:r>
              <w:t>STEP 6:</w:t>
              <w:br/>
              <w:t>Availability Zones</w:t>
              <w:br/>
              <w:t>&amp; Multi-Region</w:t>
              <w:br/>
              <w:t>Configuration</w:t>
            </w:r>
          </w:p>
        </w:tc>
        <w:tc>
          <w:tcPr>
            <w:tcW w:type="dxa" w:w="4320"/>
          </w:tcPr>
          <w:p>
            <w:r>
              <w:rPr>
                <w:b/>
              </w:rPr>
              <w:t xml:space="preserve">Question: </w:t>
            </w:r>
            <w:r>
              <w:t>How many availability zones and regions are required based on workload criticality?</w:t>
              <w:br/>
              <w:br/>
            </w:r>
            <w:r>
              <w:rPr>
                <w:b/>
              </w:rPr>
              <w:t>Configuration Guidelines by Tier:</w:t>
              <w:br/>
            </w:r>
            <w:r>
              <w:rPr>
                <w:b/>
                <w:color w:val="C00000"/>
              </w:rPr>
              <w:t xml:space="preserve">TIER 1 (Critical): </w:t>
            </w:r>
            <w:r>
              <w:t>RTO &lt; 4h, RPO &lt; 15min</w:t>
              <w:br/>
            </w:r>
            <w:r>
              <w:t xml:space="preserve">  → Multi-AZ in primary region + Multi-AZ in secondary region (active-active or hot standby)</w:t>
              <w:br/>
            </w:r>
            <w:r>
              <w:t xml:space="preserve">  → Real-time or near-real-time replication</w:t>
              <w:br/>
            </w:r>
            <w:r>
              <w:t xml:space="preserve">  → Automated failover capabilities</w:t>
              <w:br/>
              <w:br/>
            </w:r>
            <w:r>
              <w:rPr>
                <w:b/>
                <w:color w:val="FFC000"/>
              </w:rPr>
              <w:t xml:space="preserve">TIER 2 (High): </w:t>
            </w:r>
            <w:r>
              <w:t>RTO &lt; 24h, RPO &lt; 1h</w:t>
              <w:br/>
            </w:r>
            <w:r>
              <w:t xml:space="preserve">  → Multi-AZ in primary region + DR in secondary region (warm standby)</w:t>
              <w:br/>
            </w:r>
            <w:r>
              <w:t xml:space="preserve">  → Hourly replication or backup</w:t>
              <w:br/>
            </w:r>
            <w:r>
              <w:t xml:space="preserve">  → Documented failover procedures</w:t>
              <w:br/>
              <w:br/>
            </w:r>
            <w:r>
              <w:rPr>
                <w:b/>
                <w:color w:val="70AD47"/>
              </w:rPr>
              <w:t xml:space="preserve">TIER 3 (Standard): </w:t>
            </w:r>
            <w:r>
              <w:t>RTO &lt; 72h, RPO &lt; 24h</w:t>
              <w:br/>
            </w:r>
            <w:r>
              <w:t xml:space="preserve">  → Single region with Multi-AZ deployment</w:t>
              <w:br/>
            </w:r>
            <w:r>
              <w:t xml:space="preserve">  → Daily backups to alternate region</w:t>
              <w:br/>
            </w:r>
            <w:r>
              <w:t xml:space="preserve">  → Manual recovery procedures acceptable</w:t>
              <w:br/>
              <w:br/>
            </w:r>
            <w:r>
              <w:rPr>
                <w:b/>
              </w:rPr>
              <w:t xml:space="preserve">Action: </w:t>
            </w:r>
            <w:r>
              <w:t>Define high-availability architecture appropriate to workload tier. Document RTO/RPO requirements and failover procedures.</w:t>
            </w:r>
          </w:p>
        </w:tc>
      </w:tr>
    </w:tbl>
    <w:p>
      <w:r>
        <w:br w:type="page"/>
      </w:r>
    </w:p>
    <w:p>
      <w:pPr>
        <w:pStyle w:val="Heading1"/>
      </w:pPr>
      <w:r>
        <w:t>3. Decision Tree Flowchart</w:t>
      </w:r>
    </w:p>
    <w:p>
      <w:r>
        <w:t>The following visual representation shows the decision flow through all six evaluation steps. Follow the decision path from top to bottom, evaluating each criterion and documenting outcomes at each stage.</w:t>
      </w:r>
    </w:p>
    <w:p/>
    <w:p>
      <w:r>
        <w:rPr>
          <w:b/>
        </w:rPr>
        <w:t>Diagram Components:</w:t>
        <w:br/>
      </w:r>
      <w:r>
        <w:t>• Diamond shapes represent decision points requiring evaluation</w:t>
        <w:br/>
      </w:r>
      <w:r>
        <w:t>• Rectangles represent outcomes and required actions</w:t>
        <w:br/>
      </w:r>
      <w:r>
        <w:t xml:space="preserve">• Color coding indicates risk levels: </w:t>
      </w:r>
      <w:r>
        <w:rPr>
          <w:color w:val="C00000"/>
        </w:rPr>
        <w:t>Red (critical/high risk)</w:t>
      </w:r>
      <w:r>
        <w:t xml:space="preserve">, </w:t>
      </w:r>
      <w:r>
        <w:rPr>
          <w:color w:val="FFC000"/>
        </w:rPr>
        <w:t>Orange (moderate risk)</w:t>
      </w:r>
      <w:r>
        <w:t xml:space="preserve">, </w:t>
      </w:r>
      <w:r>
        <w:rPr>
          <w:color w:val="CCCC00"/>
        </w:rPr>
        <w:t>Yellow (low-moderate risk)</w:t>
      </w:r>
      <w:r>
        <w:t xml:space="preserve">, </w:t>
      </w:r>
      <w:r>
        <w:rPr>
          <w:color w:val="70AD47"/>
        </w:rPr>
        <w:t>Green (acceptable/low risk)</w:t>
      </w:r>
    </w:p>
    <w:p/>
    <w:p>
      <w:pPr>
        <w:jc w:val="center"/>
      </w:pPr>
      <w:r>
        <w:rPr>
          <w:i/>
          <w:color w:val="808080"/>
          <w:sz w:val="28"/>
        </w:rPr>
        <w:t>[DECISION TREE FLOWCHART DIAGRAM]</w:t>
      </w:r>
    </w:p>
    <w:p/>
    <w:p/>
    <w:p>
      <w:r>
        <w:rPr>
          <w:b/>
          <w:i/>
        </w:rPr>
        <w:t xml:space="preserve">Note: </w:t>
      </w:r>
      <w:r>
        <w:rPr>
          <w:i/>
        </w:rPr>
        <w:t>The complete interactive flowchart is available in HTML format and as an editable draw.io file. These formats allow for easier navigation and customization based on organizational needs.</w:t>
      </w:r>
    </w:p>
    <w:p/>
    <w:p>
      <w:pPr>
        <w:pStyle w:val="Heading2"/>
      </w:pPr>
      <w:r>
        <w:t>3.1 Using the Decision Tree</w:t>
      </w:r>
    </w:p>
    <w:p>
      <w:r>
        <w:t>1. Start at the top (Step 1: Data Sovereignty) and work sequentially through each step</w:t>
      </w:r>
    </w:p>
    <w:p>
      <w:r>
        <w:t>2. Document your evaluation and decision at each step before proceeding to the next</w:t>
      </w:r>
    </w:p>
    <w:p>
      <w:r>
        <w:t>3. If any step results in "STOP" or "Re-evaluate," address the issue before continuing</w:t>
      </w:r>
    </w:p>
    <w:p>
      <w:r>
        <w:t>4. Pay special attention to Step 5 (Concentration Risk) - this is the critical checkpoint</w:t>
      </w:r>
    </w:p>
    <w:p>
      <w:r>
        <w:t>5. Complete all six steps before finalizing deployment plans</w:t>
      </w:r>
    </w:p>
    <w:p>
      <w:r>
        <w:t>6. Retain documentation of the decision process for audit and review purposes</w:t>
      </w:r>
    </w:p>
    <w:p>
      <w:pPr>
        <w:pStyle w:val="Heading2"/>
      </w:pPr>
      <w:r>
        <w:t>3.2 Decision Tree Outputs</w:t>
      </w:r>
    </w:p>
    <w:p>
      <w:r>
        <w:t>Upon completing the decision tree evaluation, you will have documented:</w:t>
      </w:r>
    </w:p>
    <w:p>
      <w:pPr>
        <w:pStyle w:val="ListBullet"/>
      </w:pPr>
      <w:r>
        <w:t>• Regulatory compliance requirements and compliant regions</w:t>
      </w:r>
    </w:p>
    <w:p>
      <w:pPr>
        <w:pStyle w:val="ListBullet"/>
      </w:pPr>
      <w:r>
        <w:t>• Performance and latency requirements with selected region</w:t>
      </w:r>
    </w:p>
    <w:p>
      <w:pPr>
        <w:pStyle w:val="ListBullet"/>
      </w:pPr>
      <w:r>
        <w:t>• Technical feasibility confirmation for the target region</w:t>
      </w:r>
    </w:p>
    <w:p>
      <w:pPr>
        <w:pStyle w:val="ListBullet"/>
      </w:pPr>
      <w:r>
        <w:t>• Regional approval status and any required justifications</w:t>
      </w:r>
    </w:p>
    <w:p>
      <w:pPr>
        <w:pStyle w:val="ListBullet"/>
      </w:pPr>
      <w:r>
        <w:t>• Concentration risk assessment with mitigation strategies</w:t>
      </w:r>
    </w:p>
    <w:p>
      <w:pPr>
        <w:pStyle w:val="ListBullet"/>
      </w:pPr>
      <w:r>
        <w:t>• High-availability configuration (AZ and region setup)</w:t>
      </w:r>
    </w:p>
    <w:p>
      <w:pPr>
        <w:pStyle w:val="ListBullet"/>
      </w:pPr>
      <w:r>
        <w:t>• Comprehensive rationale for the final deployment decision</w:t>
      </w:r>
    </w:p>
    <w:p>
      <w:r>
        <w:br w:type="page"/>
      </w:r>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Version</w:t>
            </w:r>
          </w:p>
        </w:tc>
        <w:tc>
          <w:tcPr>
            <w:tcW w:type="dxa" w:w="2160"/>
            <w:shd w:fill="2E75B6"/>
          </w:tcPr>
          <w:p>
            <w:pPr>
              <w:jc w:val="center"/>
            </w:pPr>
            <w:r>
              <w:rPr>
                <w:rFonts w:ascii="Arial" w:hAnsi="Arial"/>
                <w:b/>
                <w:color w:val="FFFFFF"/>
                <w:sz w:val="20"/>
              </w:rPr>
              <w:t>Date</w:t>
            </w:r>
          </w:p>
        </w:tc>
        <w:tc>
          <w:tcPr>
            <w:tcW w:type="dxa" w:w="2160"/>
            <w:shd w:fill="2E75B6"/>
          </w:tcPr>
          <w:p>
            <w:pPr>
              <w:jc w:val="center"/>
            </w:pPr>
            <w:r>
              <w:rPr>
                <w:rFonts w:ascii="Arial" w:hAnsi="Arial"/>
                <w:b/>
                <w:color w:val="FFFFFF"/>
                <w:sz w:val="20"/>
              </w:rPr>
              <w:t>Author</w:t>
            </w:r>
          </w:p>
        </w:tc>
        <w:tc>
          <w:tcPr>
            <w:tcW w:type="dxa" w:w="2160"/>
            <w:shd w:fill="2E75B6"/>
          </w:tcPr>
          <w:p>
            <w:pPr>
              <w:jc w:val="center"/>
            </w:pPr>
            <w:r>
              <w:rPr>
                <w:rFonts w:ascii="Arial" w:hAnsi="Arial"/>
                <w:b/>
                <w:color w:val="FFFFFF"/>
                <w:sz w:val="20"/>
              </w:rPr>
              <w:t>Changes</w:t>
            </w:r>
          </w:p>
        </w:tc>
      </w:tr>
      <w:tr>
        <w:tc>
          <w:tcPr>
            <w:tcW w:type="dxa" w:w="2160"/>
          </w:tcPr>
          <w:p>
            <w:pPr>
              <w:jc w:val="center"/>
            </w:pPr>
            <w:r>
              <w:t>2.0</w:t>
            </w:r>
          </w:p>
        </w:tc>
        <w:tc>
          <w:tcPr>
            <w:tcW w:type="dxa" w:w="2160"/>
          </w:tcPr>
          <w:p>
            <w:pPr>
              <w:jc w:val="center"/>
            </w:pPr>
            <w:r>
              <w:t>Jan 2026</w:t>
            </w:r>
          </w:p>
        </w:tc>
        <w:tc>
          <w:tcPr>
            <w:tcW w:type="dxa" w:w="2160"/>
          </w:tcPr>
          <w:p>
            <w:r>
              <w:t>Cloud Architecture Team</w:t>
            </w:r>
          </w:p>
        </w:tc>
        <w:tc>
          <w:tcPr>
            <w:tcW w:type="dxa" w:w="2160"/>
          </w:tcPr>
          <w:p>
            <w:r>
              <w:t>CTO Team edition - Design evaluation focus, regulatory references removed</w:t>
            </w:r>
          </w:p>
        </w:tc>
      </w:tr>
    </w:tbl>
    <w:p>
      <w:pPr>
        <w:pStyle w:val="Heading2"/>
      </w:pPr>
      <w:r>
        <w:t>Approval</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Name</w:t>
            </w:r>
          </w:p>
        </w:tc>
        <w:tc>
          <w:tcPr>
            <w:tcW w:type="dxa" w:w="2880"/>
            <w:shd w:fill="2E75B6"/>
          </w:tcPr>
          <w:p>
            <w:pPr>
              <w:jc w:val="center"/>
            </w:pPr>
            <w:r>
              <w:rPr>
                <w:rFonts w:ascii="Arial" w:hAnsi="Arial"/>
                <w:b/>
                <w:color w:val="FFFFFF"/>
                <w:sz w:val="20"/>
              </w:rPr>
              <w:t>Signature/Date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rPr>
              <w:t>Prepared by:</w:t>
            </w:r>
          </w:p>
        </w:tc>
        <w:tc>
          <w:tcPr>
            <w:tcW w:type="dxa" w:w="2880"/>
          </w:tcPr>
          <w:p>
            <w:r>
              <w:t>Senior Lead Cloud Architect</w:t>
            </w:r>
          </w:p>
        </w:tc>
        <w:tc>
          <w:tcPr>
            <w:tcW w:type="dxa" w:w="2880"/>
          </w:tcPr>
          <w:p>
            <w:r>
              <w:t>_________________</w:t>
            </w:r>
          </w:p>
        </w:tc>
      </w:tr>
      <w:tr>
        <w:tc>
          <w:tcPr>
            <w:tcW w:type="dxa" w:w="2880"/>
          </w:tcPr>
          <w:p>
            <w:r>
              <w:rPr>
                <w:b/>
              </w:rPr>
              <w:t>Approved by:</w:t>
            </w:r>
          </w:p>
        </w:tc>
        <w:tc>
          <w:tcPr>
            <w:tcW w:type="dxa" w:w="2880"/>
          </w:tcPr>
          <w:p>
            <w:r>
              <w:t>CTO</w:t>
            </w:r>
          </w:p>
        </w:tc>
        <w:tc>
          <w:tcPr>
            <w:tcW w:type="dxa" w:w="2880"/>
          </w:tcPr>
          <w:p>
            <w:r>
              <w:t>_________________</w:t>
            </w:r>
          </w:p>
        </w:tc>
      </w:tr>
    </w:tbl>
    <w:p/>
    <w:p>
      <w:pPr>
        <w:jc w:val="center"/>
      </w:pPr>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