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2E75B6"/>
          <w:sz w:val="48"/>
        </w:rPr>
        <w:t>Cloud Workload Placement Decision Tree</w:t>
      </w:r>
    </w:p>
    <w:p>
      <w:pPr>
        <w:jc w:val="center"/>
      </w:pPr>
      <w:r>
        <w:rPr>
          <w:b/>
          <w:color w:val="44546A"/>
          <w:sz w:val="28"/>
        </w:rPr>
        <w:t>DORA-Compliant Deployment Framework</w:t>
      </w:r>
    </w:p>
    <w:p>
      <w:pPr>
        <w:jc w:val="center"/>
      </w:pPr>
      <w:r>
        <w:rPr>
          <w:i/>
          <w:color w:val="44546A"/>
          <w:sz w:val="24"/>
        </w:rPr>
        <w:t>Simplified Implementation Guide</w:t>
      </w:r>
    </w:p>
    <w:p/>
    <w:p/>
    <w:p>
      <w:pPr>
        <w:jc w:val="center"/>
      </w:pPr>
      <w:r>
        <w:rPr>
          <w:i/>
        </w:rPr>
        <w:t>Document Version: 1.0 - Executive Summary</w:t>
      </w:r>
    </w:p>
    <w:p>
      <w:pPr>
        <w:jc w:val="center"/>
      </w:pPr>
      <w:r>
        <w:rPr>
          <w:i/>
        </w:rPr>
        <w:t>Date: December 2025</w:t>
      </w:r>
    </w:p>
    <w:p>
      <w:pPr>
        <w:jc w:val="center"/>
      </w:pPr>
      <w:r>
        <w:rPr>
          <w:b/>
          <w:color w:val="C00000"/>
        </w:rPr>
        <w:t>Classification: Internal Use Only</w:t>
      </w:r>
    </w:p>
    <w:p>
      <w:r>
        <w:br w:type="page"/>
      </w:r>
    </w:p>
    <w:p>
      <w:pPr>
        <w:pStyle w:val="Heading1"/>
      </w:pPr>
      <w:r>
        <w:t>1. Executive Summary</w:t>
      </w:r>
    </w:p>
    <w:p>
      <w:r>
        <w:t>This simplified framework provides the essential decision process for cloud workload placement to ensure DORA (Digital Operational Resilience Act) compliance. Following the Internal Audit recommendation, this document establishes the minimum requirements for ICT risk management and concentration risk assessment.</w:t>
      </w:r>
    </w:p>
    <w:p>
      <w:r>
        <w:t>All cloud deployments, migrations, or workload movements MUST follow this process to comply with DORA Articles 6 (ICT risk management), 28 (ICT concentration risk), and 30 (third-party risk).</w:t>
      </w:r>
    </w:p>
    <w:p>
      <w:r>
        <w:rPr>
          <w:b/>
        </w:rPr>
        <w:t>CRITICAL DORA REQUIREMENTS:</w:t>
      </w:r>
      <w:r>
        <w:br/>
        <w:t>• Assess ICT concentration risk BEFORE any deployment</w:t>
      </w:r>
      <w:r>
        <w:br/>
        <w:t>• Document exit strategies for all critical workloads</w:t>
      </w:r>
      <w:r>
        <w:br/>
        <w:t>• Maintain ICT Risk Register with all deployment decisions</w:t>
      </w:r>
      <w:r>
        <w:br/>
        <w:t>• Test resilience capabilities per defined schedule</w:t>
      </w:r>
    </w:p>
    <w:p>
      <w:r>
        <w:br w:type="page"/>
      </w:r>
    </w:p>
    <w:p>
      <w:pPr>
        <w:pStyle w:val="Heading1"/>
      </w:pPr>
      <w:r>
        <w:t>2. Why DORA Compliance Matters</w:t>
      </w:r>
    </w:p>
    <w:p>
      <w:r>
        <w:t>DORA requires financial entities to identify and prevent ICT concentration risk. The key requirement is simple: we cannot have excessive dependency on any single cloud provider, region, or service that would threaten operational resilience.</w:t>
      </w:r>
    </w:p>
    <w:p>
      <w:pPr>
        <w:pStyle w:val="Heading2"/>
      </w:pPr>
      <w:r>
        <w:t>2.1 Three Critical DORA Requirements</w:t>
      </w:r>
    </w:p>
    <w:tbl>
      <w:tblPr>
        <w:tblStyle w:val="LightGrid-Accent1"/>
        <w:tblW w:type="auto" w:w="0"/>
        <w:tblLook w:firstColumn="1" w:firstRow="1" w:lastColumn="0" w:lastRow="0" w:noHBand="0" w:noVBand="1" w:val="04A0"/>
      </w:tblPr>
      <w:tblGrid>
        <w:gridCol w:w="4320"/>
        <w:gridCol w:w="4320"/>
      </w:tblGrid>
      <w:tr>
        <w:tc>
          <w:tcPr>
            <w:tcW w:type="dxa" w:w="4320"/>
            <w:shd w:fill="2E75B6"/>
          </w:tcPr>
          <w:p>
            <w:pPr>
              <w:jc w:val="center"/>
            </w:pPr>
            <w:r>
              <w:rPr>
                <w:rFonts w:ascii="Arial" w:hAnsi="Arial"/>
                <w:b/>
                <w:color w:val="FFFFFF"/>
                <w:sz w:val="20"/>
              </w:rPr>
              <w:t>DORA Requirement</w:t>
            </w:r>
          </w:p>
        </w:tc>
        <w:tc>
          <w:tcPr>
            <w:tcW w:type="dxa" w:w="4320"/>
            <w:shd w:fill="2E75B6"/>
          </w:tcPr>
          <w:p>
            <w:pPr>
              <w:jc w:val="center"/>
            </w:pPr>
            <w:r>
              <w:rPr>
                <w:rFonts w:ascii="Arial" w:hAnsi="Arial"/>
                <w:b/>
                <w:color w:val="FFFFFF"/>
                <w:sz w:val="20"/>
              </w:rPr>
              <w:t>What We Must Do</w:t>
            </w:r>
          </w:p>
        </w:tc>
      </w:tr>
      <w:tr>
        <w:tc>
          <w:tcPr>
            <w:tcW w:type="dxa" w:w="4320"/>
          </w:tcPr>
          <w:p>
            <w:r>
              <w:t>Article 6</w:t>
              <w:br/>
              <w:t>ICT Risk Management</w:t>
            </w:r>
          </w:p>
        </w:tc>
        <w:tc>
          <w:tcPr>
            <w:tcW w:type="dxa" w:w="4320"/>
          </w:tcPr>
          <w:p>
            <w:r>
              <w:t>Document all cloud deployment decisions in ICT Risk Register with formal risk assessment</w:t>
            </w:r>
          </w:p>
        </w:tc>
      </w:tr>
      <w:tr>
        <w:tc>
          <w:tcPr>
            <w:tcW w:type="dxa" w:w="4320"/>
          </w:tcPr>
          <w:p>
            <w:r>
              <w:t>Article 28</w:t>
              <w:br/>
              <w:t>Concentration Risk</w:t>
            </w:r>
          </w:p>
        </w:tc>
        <w:tc>
          <w:tcPr>
            <w:tcW w:type="dxa" w:w="4320"/>
          </w:tcPr>
          <w:p>
            <w:r>
              <w:t>Keep concentration below 60% on any single provider/region. Document exit strategies.</w:t>
            </w:r>
          </w:p>
        </w:tc>
      </w:tr>
      <w:tr>
        <w:tc>
          <w:tcPr>
            <w:tcW w:type="dxa" w:w="4320"/>
          </w:tcPr>
          <w:p>
            <w:r>
              <w:t>Article 28</w:t>
              <w:br/>
              <w:t>Exit Strategy</w:t>
            </w:r>
          </w:p>
        </w:tc>
        <w:tc>
          <w:tcPr>
            <w:tcW w:type="dxa" w:w="4320"/>
          </w:tcPr>
          <w:p>
            <w:r>
              <w:t>Identify alternative providers and test migration capability annually</w:t>
            </w:r>
          </w:p>
        </w:tc>
      </w:tr>
    </w:tbl>
    <w:p>
      <w:r>
        <w:br w:type="page"/>
      </w:r>
    </w:p>
    <w:p>
      <w:pPr>
        <w:pStyle w:val="Heading1"/>
      </w:pPr>
      <w:r>
        <w:t>3. Decision Tree Framework</w:t>
      </w:r>
    </w:p>
    <w:p>
      <w:r>
        <w:t>Follow these steps IN ORDER for every cloud deployment decision. Each step is mandatory for DORA compliance.</w:t>
      </w:r>
    </w:p>
    <w:tbl>
      <w:tblPr>
        <w:tblStyle w:val="LightGrid-Accent1"/>
        <w:tblW w:type="auto" w:w="0"/>
        <w:tblLook w:firstColumn="1" w:firstRow="1" w:lastColumn="0" w:lastRow="0" w:noHBand="0" w:noVBand="1" w:val="04A0"/>
      </w:tblPr>
      <w:tblGrid>
        <w:gridCol w:w="4320"/>
        <w:gridCol w:w="4320"/>
      </w:tblGrid>
      <w:tr>
        <w:tc>
          <w:tcPr>
            <w:tcW w:type="dxa" w:w="4320"/>
            <w:shd w:fill="2E75B6"/>
          </w:tcPr>
          <w:p>
            <w:pPr>
              <w:jc w:val="center"/>
            </w:pPr>
            <w:r>
              <w:rPr>
                <w:rFonts w:ascii="Arial" w:hAnsi="Arial"/>
                <w:b/>
                <w:color w:val="FFFFFF"/>
                <w:sz w:val="20"/>
              </w:rPr>
              <w:t>Step</w:t>
            </w:r>
          </w:p>
        </w:tc>
        <w:tc>
          <w:tcPr>
            <w:tcW w:type="dxa" w:w="4320"/>
            <w:shd w:fill="2E75B6"/>
          </w:tcPr>
          <w:p>
            <w:pPr>
              <w:jc w:val="center"/>
            </w:pPr>
            <w:r>
              <w:rPr>
                <w:rFonts w:ascii="Arial" w:hAnsi="Arial"/>
                <w:b/>
                <w:color w:val="FFFFFF"/>
                <w:sz w:val="20"/>
              </w:rPr>
              <w:t>Decision Criteria</w:t>
            </w:r>
          </w:p>
        </w:tc>
      </w:tr>
      <w:tr>
        <w:tc>
          <w:tcPr>
            <w:tcW w:type="dxa" w:w="4320"/>
          </w:tcPr>
          <w:p>
            <w:r>
              <w:t>STEP 1:</w:t>
              <w:br/>
              <w:t>Data Sovereignty &amp;</w:t>
              <w:br/>
              <w:t>Regulatory Compliance</w:t>
            </w:r>
          </w:p>
        </w:tc>
        <w:tc>
          <w:tcPr>
            <w:tcW w:type="dxa" w:w="4320"/>
          </w:tcPr>
          <w:p>
            <w:r>
              <w:rPr>
                <w:b/>
              </w:rPr>
              <w:t xml:space="preserve">Question: </w:t>
            </w:r>
            <w:r>
              <w:t>Does workload process EU citizen data (GDPR) or other regulated data?</w:t>
              <w:br/>
              <w:br/>
            </w:r>
            <w:r>
              <w:rPr>
                <w:b/>
                <w:color w:val="C00000"/>
              </w:rPr>
              <w:t xml:space="preserve">YES - EU data: </w:t>
            </w:r>
            <w:r>
              <w:t>MUST use EU regions only (Frankfurt, Ireland, Madrid)</w:t>
              <w:br/>
            </w:r>
            <w:r>
              <w:rPr>
                <w:b/>
                <w:color w:val="FFC000"/>
              </w:rPr>
              <w:t xml:space="preserve">YES - Other regulations: </w:t>
            </w:r>
            <w:r>
              <w:t>Filter regions by jurisdiction requirements</w:t>
              <w:br/>
            </w:r>
            <w:r>
              <w:rPr>
                <w:b/>
                <w:color w:val="70AD47"/>
              </w:rPr>
              <w:t xml:space="preserve">NO: </w:t>
            </w:r>
            <w:r>
              <w:t>All regions available</w:t>
            </w:r>
          </w:p>
        </w:tc>
      </w:tr>
      <w:tr>
        <w:tc>
          <w:tcPr>
            <w:tcW w:type="dxa" w:w="4320"/>
          </w:tcPr>
          <w:p>
            <w:r>
              <w:t>STEP 2:</w:t>
              <w:br/>
              <w:t>Latency &amp;</w:t>
              <w:br/>
              <w:t>Performance</w:t>
            </w:r>
          </w:p>
        </w:tc>
        <w:tc>
          <w:tcPr>
            <w:tcW w:type="dxa" w:w="4320"/>
          </w:tcPr>
          <w:p>
            <w:r>
              <w:rPr>
                <w:b/>
              </w:rPr>
              <w:t xml:space="preserve">Factors: </w:t>
            </w:r>
            <w:r>
              <w:t>Latency requirements, Critical resources, Target users</w:t>
              <w:br/>
              <w:br/>
            </w:r>
            <w:r>
              <w:rPr>
                <w:b/>
              </w:rPr>
              <w:t xml:space="preserve">&lt;50ms required: </w:t>
            </w:r>
            <w:r>
              <w:t>Deploy in closest region to users</w:t>
              <w:br/>
            </w:r>
            <w:r>
              <w:rPr>
                <w:b/>
              </w:rPr>
              <w:t xml:space="preserve">50-100ms acceptable: </w:t>
            </w:r>
            <w:r>
              <w:t>Balance performance with other factors</w:t>
              <w:br/>
            </w:r>
            <w:r>
              <w:rPr>
                <w:b/>
              </w:rPr>
              <w:t xml:space="preserve">&gt;100ms acceptable: </w:t>
            </w:r>
            <w:r>
              <w:t>Prioritize cost and resilience over proximity</w:t>
            </w:r>
          </w:p>
        </w:tc>
      </w:tr>
      <w:tr>
        <w:tc>
          <w:tcPr>
            <w:tcW w:type="dxa" w:w="4320"/>
          </w:tcPr>
          <w:p>
            <w:r>
              <w:t>STEP 3:</w:t>
              <w:br/>
              <w:t>Technical</w:t>
              <w:br/>
              <w:t>Dependencies</w:t>
            </w:r>
          </w:p>
        </w:tc>
        <w:tc>
          <w:tcPr>
            <w:tcW w:type="dxa" w:w="4320"/>
          </w:tcPr>
          <w:p>
            <w:r>
              <w:rPr>
                <w:b/>
              </w:rPr>
              <w:t xml:space="preserve">Check: </w:t>
            </w:r>
            <w:r>
              <w:t>Services and Application Components &amp; Dependencies</w:t>
              <w:br/>
              <w:br/>
            </w:r>
            <w:r>
              <w:rPr>
                <w:b/>
              </w:rPr>
              <w:t xml:space="preserve">✓ </w:t>
            </w:r>
            <w:r>
              <w:t>Required cloud services available in target region</w:t>
              <w:br/>
            </w:r>
            <w:r>
              <w:rPr>
                <w:b/>
              </w:rPr>
              <w:t xml:space="preserve">✓ </w:t>
            </w:r>
            <w:r>
              <w:t>Integration with existing systems feasible</w:t>
              <w:br/>
            </w:r>
            <w:r>
              <w:rPr>
                <w:b/>
              </w:rPr>
              <w:t xml:space="preserve">✓ </w:t>
            </w:r>
            <w:r>
              <w:t>Provider SLA meets business requirements</w:t>
              <w:br/>
            </w:r>
            <w:r>
              <w:rPr>
                <w:b/>
                <w:color w:val="C00000"/>
              </w:rPr>
              <w:t xml:space="preserve">If any check fails: </w:t>
            </w:r>
            <w:r>
              <w:t>Re-evaluate region selection</w:t>
            </w:r>
          </w:p>
        </w:tc>
      </w:tr>
      <w:tr>
        <w:tc>
          <w:tcPr>
            <w:tcW w:type="dxa" w:w="4320"/>
          </w:tcPr>
          <w:p>
            <w:r>
              <w:t>STEP 4:</w:t>
              <w:br/>
              <w:t>Current Regions</w:t>
              <w:br/>
              <w:t>Inventory</w:t>
            </w:r>
          </w:p>
        </w:tc>
        <w:tc>
          <w:tcPr>
            <w:tcW w:type="dxa" w:w="4320"/>
          </w:tcPr>
          <w:p>
            <w:r>
              <w:rPr>
                <w:b/>
              </w:rPr>
              <w:t>Current Approved Regions:</w:t>
              <w:br/>
            </w:r>
            <w:r>
              <w:t>• Azure: Amsterdam (West Europe)</w:t>
              <w:br/>
            </w:r>
            <w:r>
              <w:t>• AWS: Ireland (eu-west-1), London (eu-west-2)</w:t>
              <w:br/>
            </w:r>
            <w:r>
              <w:t>• AWS: Frankfurt (eu-central-1)</w:t>
              <w:br/>
            </w:r>
            <w:r>
              <w:t>• AWS: Virginia (us-east-1)</w:t>
              <w:br/>
            </w:r>
            <w:r>
              <w:t>• AWS: Madrid (eu-south-2)</w:t>
              <w:br/>
              <w:br/>
            </w:r>
            <w:r>
              <w:rPr>
                <w:b/>
              </w:rPr>
              <w:t xml:space="preserve">Note: </w:t>
            </w:r>
            <w:r>
              <w:t>Madrid and Virginia regions require specific justification for new workloads</w:t>
            </w:r>
          </w:p>
        </w:tc>
      </w:tr>
      <w:tr>
        <w:tc>
          <w:tcPr>
            <w:tcW w:type="dxa" w:w="4320"/>
          </w:tcPr>
          <w:p>
            <w:r>
              <w:t>STEP 5:</w:t>
              <w:br/>
              <w:t>ICT Concentration</w:t>
              <w:br/>
              <w:t>Risk Assessment</w:t>
              <w:br/>
              <w:t>(DORA Art. 28)</w:t>
            </w:r>
          </w:p>
        </w:tc>
        <w:tc>
          <w:tcPr>
            <w:tcW w:type="dxa" w:w="4320"/>
          </w:tcPr>
          <w:p>
            <w:r>
              <w:rPr>
                <w:b/>
                <w:color w:val="C00000"/>
              </w:rPr>
              <w:t xml:space="preserve">MANDATORY: </w:t>
            </w:r>
            <w:r>
              <w:t>Calculate workload distribution across regions</w:t>
              <w:br/>
              <w:br/>
            </w:r>
            <w:r>
              <w:rPr>
                <w:b/>
                <w:color w:val="C00000"/>
              </w:rPr>
              <w:t xml:space="preserve">&gt; 60% in one region/provider: </w:t>
            </w:r>
            <w:r>
              <w:t>CRITICAL RISK - Must diversify immediately</w:t>
              <w:br/>
            </w:r>
            <w:r>
              <w:rPr>
                <w:b/>
                <w:color w:val="FFC000"/>
              </w:rPr>
              <w:t xml:space="preserve">40-60% concentration: </w:t>
            </w:r>
            <w:r>
              <w:t>HIGH RISK - Require documented exit strategy</w:t>
              <w:br/>
            </w:r>
            <w:r>
              <w:rPr>
                <w:b/>
                <w:color w:val="70AD47"/>
              </w:rPr>
              <w:t xml:space="preserve">&lt; 40% concentration: </w:t>
            </w:r>
            <w:r>
              <w:t>COMPLIANT - Well distributed, proceed</w:t>
              <w:br/>
              <w:br/>
            </w:r>
            <w:r>
              <w:rPr>
                <w:b/>
              </w:rPr>
              <w:t xml:space="preserve">Action: </w:t>
            </w:r>
            <w:r>
              <w:t>Review "Workload Distribution by Region" report before proceeding</w:t>
            </w:r>
          </w:p>
        </w:tc>
      </w:tr>
      <w:tr>
        <w:tc>
          <w:tcPr>
            <w:tcW w:type="dxa" w:w="4320"/>
          </w:tcPr>
          <w:p>
            <w:r>
              <w:t>STEP 6:</w:t>
              <w:br/>
              <w:t>Availability Zones</w:t>
              <w:br/>
              <w:t>&amp; Regions</w:t>
            </w:r>
          </w:p>
        </w:tc>
        <w:tc>
          <w:tcPr>
            <w:tcW w:type="dxa" w:w="4320"/>
          </w:tcPr>
          <w:p>
            <w:r>
              <w:rPr>
                <w:b/>
              </w:rPr>
              <w:t>Deployment Configuration:</w:t>
              <w:br/>
            </w:r>
            <w:r>
              <w:t>• Number of Availability Zones required</w:t>
              <w:br/>
            </w:r>
            <w:r>
              <w:t>• Number of Regions for DR/resilience</w:t>
              <w:br/>
              <w:br/>
            </w:r>
            <w:r>
              <w:rPr>
                <w:b/>
                <w:color w:val="C00000"/>
              </w:rPr>
              <w:t xml:space="preserve">TIER 1 (Critical): </w:t>
            </w:r>
            <w:r>
              <w:t>Multi-AZ + Multi-region (active-active)</w:t>
              <w:br/>
            </w:r>
            <w:r>
              <w:rPr>
                <w:b/>
                <w:color w:val="FFC000"/>
              </w:rPr>
              <w:t xml:space="preserve">TIER 2 (High): </w:t>
            </w:r>
            <w:r>
              <w:t>Multi-AZ in primary + DR region</w:t>
              <w:br/>
            </w:r>
            <w:r>
              <w:rPr>
                <w:b/>
                <w:color w:val="70AD47"/>
              </w:rPr>
              <w:t xml:space="preserve">TIER 3 (Standard): </w:t>
            </w:r>
            <w:r>
              <w:t>Single region, multi-AZ acceptable</w:t>
            </w:r>
          </w:p>
        </w:tc>
      </w:tr>
    </w:tbl>
    <w:p>
      <w:r>
        <w:br w:type="page"/>
      </w:r>
    </w:p>
    <w:p>
      <w:pPr>
        <w:pStyle w:val="Heading1"/>
      </w:pPr>
      <w:r>
        <w:t>4. Regional Deployment Guidelines</w:t>
      </w:r>
    </w:p>
    <w:p>
      <w:r>
        <w:t>Use this matrix to select appropriate regions based on your decision tree evaluation.</w:t>
      </w:r>
    </w:p>
    <w:tbl>
      <w:tblPr>
        <w:tblStyle w:val="LightGrid-Accent1"/>
        <w:tblW w:type="auto" w:w="0"/>
        <w:tblLook w:firstColumn="1" w:firstRow="1" w:lastColumn="0" w:lastRow="0" w:noHBand="0" w:noVBand="1" w:val="04A0"/>
      </w:tblPr>
      <w:tblGrid>
        <w:gridCol w:w="2880"/>
        <w:gridCol w:w="2880"/>
        <w:gridCol w:w="2880"/>
      </w:tblGrid>
      <w:tr>
        <w:tc>
          <w:tcPr>
            <w:tcW w:type="dxa" w:w="2880"/>
            <w:shd w:fill="2E75B6"/>
          </w:tcPr>
          <w:p>
            <w:pPr>
              <w:jc w:val="center"/>
            </w:pPr>
            <w:r>
              <w:rPr>
                <w:rFonts w:ascii="Arial" w:hAnsi="Arial"/>
                <w:b/>
                <w:color w:val="FFFFFF"/>
                <w:sz w:val="20"/>
              </w:rPr>
              <w:t>Region</w:t>
            </w:r>
          </w:p>
        </w:tc>
        <w:tc>
          <w:tcPr>
            <w:tcW w:type="dxa" w:w="2880"/>
            <w:shd w:fill="2E75B6"/>
          </w:tcPr>
          <w:p>
            <w:pPr>
              <w:jc w:val="center"/>
            </w:pPr>
            <w:r>
              <w:rPr>
                <w:rFonts w:ascii="Arial" w:hAnsi="Arial"/>
                <w:b/>
                <w:color w:val="FFFFFF"/>
                <w:sz w:val="20"/>
              </w:rPr>
              <w:t>Use For</w:t>
            </w:r>
          </w:p>
        </w:tc>
        <w:tc>
          <w:tcPr>
            <w:tcW w:type="dxa" w:w="2880"/>
            <w:shd w:fill="2E75B6"/>
          </w:tcPr>
          <w:p>
            <w:pPr>
              <w:jc w:val="center"/>
            </w:pPr>
            <w:r>
              <w:rPr>
                <w:rFonts w:ascii="Arial" w:hAnsi="Arial"/>
                <w:b/>
                <w:color w:val="FFFFFF"/>
                <w:sz w:val="20"/>
              </w:rPr>
              <w:t>DORA Notes</w:t>
            </w:r>
          </w:p>
        </w:tc>
      </w:tr>
      <w:tr>
        <w:tc>
          <w:tcPr>
            <w:tcW w:type="dxa" w:w="2880"/>
          </w:tcPr>
          <w:p>
            <w:r>
              <w:t>Azure</w:t>
              <w:br/>
              <w:t>Amsterdam</w:t>
            </w:r>
          </w:p>
        </w:tc>
        <w:tc>
          <w:tcPr>
            <w:tcW w:type="dxa" w:w="2880"/>
          </w:tcPr>
          <w:p>
            <w:r>
              <w:t>M365 integrations</w:t>
              <w:br/>
              <w:t>Western EU workloads</w:t>
            </w:r>
          </w:p>
        </w:tc>
        <w:tc>
          <w:tcPr>
            <w:tcW w:type="dxa" w:w="2880"/>
          </w:tcPr>
          <w:p>
            <w:r>
              <w:t>Multi-cloud strategy reduces provider concentration</w:t>
            </w:r>
          </w:p>
        </w:tc>
      </w:tr>
      <w:tr>
        <w:tc>
          <w:tcPr>
            <w:tcW w:type="dxa" w:w="2880"/>
          </w:tcPr>
          <w:p>
            <w:r>
              <w:t>AWS</w:t>
              <w:br/>
              <w:t>Ireland (London)</w:t>
            </w:r>
          </w:p>
        </w:tc>
        <w:tc>
          <w:tcPr>
            <w:tcW w:type="dxa" w:w="2880"/>
          </w:tcPr>
          <w:p>
            <w:r>
              <w:t>UK/Western EU</w:t>
              <w:br/>
              <w:t>DR for Frankfurt</w:t>
            </w:r>
          </w:p>
        </w:tc>
        <w:tc>
          <w:tcPr>
            <w:tcW w:type="dxa" w:w="2880"/>
          </w:tcPr>
          <w:p>
            <w:r>
              <w:t>Geographic diversity within AWS</w:t>
            </w:r>
          </w:p>
        </w:tc>
      </w:tr>
      <w:tr>
        <w:tc>
          <w:tcPr>
            <w:tcW w:type="dxa" w:w="2880"/>
          </w:tcPr>
          <w:p>
            <w:r>
              <w:t>AWS</w:t>
              <w:br/>
              <w:t>Frankfurt</w:t>
            </w:r>
          </w:p>
        </w:tc>
        <w:tc>
          <w:tcPr>
            <w:tcW w:type="dxa" w:w="2880"/>
          </w:tcPr>
          <w:p>
            <w:r>
              <w:t>Central EU</w:t>
              <w:br/>
              <w:t>GDPR workloads</w:t>
            </w:r>
          </w:p>
        </w:tc>
        <w:tc>
          <w:tcPr>
            <w:tcW w:type="dxa" w:w="2880"/>
          </w:tcPr>
          <w:p>
            <w:r>
              <w:t>Monitor concentration - high usage region</w:t>
            </w:r>
          </w:p>
        </w:tc>
      </w:tr>
      <w:tr>
        <w:tc>
          <w:tcPr>
            <w:tcW w:type="dxa" w:w="2880"/>
          </w:tcPr>
          <w:p>
            <w:r>
              <w:t>AWS</w:t>
              <w:br/>
              <w:t>Virginia</w:t>
            </w:r>
          </w:p>
        </w:tc>
        <w:tc>
          <w:tcPr>
            <w:tcW w:type="dxa" w:w="2880"/>
          </w:tcPr>
          <w:p>
            <w:r>
              <w:t>Global services</w:t>
              <w:br/>
              <w:t>Dev/test</w:t>
            </w:r>
          </w:p>
        </w:tc>
        <w:tc>
          <w:tcPr>
            <w:tcW w:type="dxa" w:w="2880"/>
          </w:tcPr>
          <w:p>
            <w:r>
              <w:t>NOT for EU citizen data. Cost-effective option.</w:t>
            </w:r>
          </w:p>
        </w:tc>
      </w:tr>
      <w:tr>
        <w:tc>
          <w:tcPr>
            <w:tcW w:type="dxa" w:w="2880"/>
          </w:tcPr>
          <w:p>
            <w:r>
              <w:t>AWS</w:t>
              <w:br/>
              <w:t>Madrid</w:t>
            </w:r>
          </w:p>
        </w:tc>
        <w:tc>
          <w:tcPr>
            <w:tcW w:type="dxa" w:w="2880"/>
          </w:tcPr>
          <w:p>
            <w:r>
              <w:t>Southern EU</w:t>
              <w:br/>
              <w:t>Diversification</w:t>
            </w:r>
          </w:p>
        </w:tc>
        <w:tc>
          <w:tcPr>
            <w:tcW w:type="dxa" w:w="2880"/>
          </w:tcPr>
          <w:p>
            <w:r>
              <w:t>Reduces concentration in Central EU</w:t>
            </w:r>
          </w:p>
        </w:tc>
      </w:tr>
    </w:tbl>
    <w:p>
      <w:r>
        <w:br w:type="page"/>
      </w:r>
    </w:p>
    <w:p>
      <w:pPr>
        <w:pStyle w:val="Heading1"/>
      </w:pPr>
      <w:r>
        <w:t>5. DORA Compliance Requirements</w:t>
      </w:r>
    </w:p>
    <w:p>
      <w:pPr>
        <w:pStyle w:val="Heading2"/>
      </w:pPr>
      <w:r>
        <w:t>5.1 Exit Strategy Documentation</w:t>
      </w:r>
    </w:p>
    <w:p>
      <w:r>
        <w:rPr>
          <w:b/>
          <w:color w:val="C00000"/>
        </w:rPr>
        <w:t xml:space="preserve">DORA MANDATORY (Article 28): </w:t>
      </w:r>
      <w:r>
        <w:t>Financial entities must identify and document alternative arrangements to ensure they can switch to other providers or solutions if necessary.</w:t>
      </w:r>
    </w:p>
    <w:p/>
    <w:p>
      <w:r>
        <w:t>For every Tier 1 and Tier 2 workload, document:</w:t>
      </w:r>
    </w:p>
    <w:p>
      <w:r>
        <w:rPr>
          <w:b w:val="0"/>
        </w:rPr>
        <w:t>• Alternative cloud provider(s) that can host the workload</w:t>
      </w:r>
      <w:r>
        <w:rPr>
          <w:color w:val="C00000"/>
        </w:rPr>
        <w:br/>
        <w:t xml:space="preserve">  → </w:t>
      </w:r>
      <w:r>
        <w:rPr>
          <w:b/>
          <w:color w:val="C00000"/>
        </w:rPr>
        <w:t>MANDATORY</w:t>
      </w:r>
      <w:r>
        <w:rPr>
          <w:i/>
          <w:sz w:val="18"/>
        </w:rPr>
        <w:t xml:space="preserve"> (DORA Art. 28 - substitutability requirement)</w:t>
      </w:r>
    </w:p>
    <w:p>
      <w:r>
        <w:rPr>
          <w:b w:val="0"/>
        </w:rPr>
        <w:t>• Estimated migration timeline (days/weeks)</w:t>
      </w:r>
      <w:r>
        <w:rPr>
          <w:color w:val="C00000"/>
        </w:rPr>
        <w:br/>
        <w:t xml:space="preserve">  → </w:t>
      </w:r>
      <w:r>
        <w:rPr>
          <w:b/>
          <w:color w:val="C00000"/>
        </w:rPr>
        <w:t>MANDATORY</w:t>
      </w:r>
      <w:r>
        <w:rPr>
          <w:i/>
          <w:sz w:val="18"/>
        </w:rPr>
        <w:t xml:space="preserve"> (DORA Art. 28 - assess exit complexity)</w:t>
      </w:r>
    </w:p>
    <w:p>
      <w:r>
        <w:rPr>
          <w:b w:val="0"/>
        </w:rPr>
        <w:t>• Data export and portability mechanisms</w:t>
      </w:r>
      <w:r>
        <w:rPr>
          <w:color w:val="C00000"/>
        </w:rPr>
        <w:br/>
        <w:t xml:space="preserve">  → </w:t>
      </w:r>
      <w:r>
        <w:rPr>
          <w:b/>
          <w:color w:val="C00000"/>
        </w:rPr>
        <w:t>MANDATORY</w:t>
      </w:r>
      <w:r>
        <w:rPr>
          <w:i/>
          <w:sz w:val="18"/>
        </w:rPr>
        <w:t xml:space="preserve"> (DORA Art. 28 - ensure data portability)</w:t>
      </w:r>
    </w:p>
    <w:p>
      <w:r>
        <w:rPr>
          <w:b w:val="0"/>
        </w:rPr>
        <w:t>• Services that may cause vendor lock-in</w:t>
      </w:r>
      <w:r>
        <w:rPr>
          <w:color w:val="C00000"/>
        </w:rPr>
        <w:br/>
        <w:t xml:space="preserve">  → </w:t>
      </w:r>
      <w:r>
        <w:rPr>
          <w:b/>
          <w:color w:val="C00000"/>
        </w:rPr>
        <w:t>MANDATORY</w:t>
      </w:r>
      <w:r>
        <w:rPr>
          <w:i/>
          <w:sz w:val="18"/>
        </w:rPr>
        <w:t xml:space="preserve"> (DORA Art. 28 - identify concentration risks)</w:t>
      </w:r>
    </w:p>
    <w:p>
      <w:r>
        <w:rPr>
          <w:b w:val="0"/>
        </w:rPr>
        <w:t>• Annual testing schedule for migration procedures</w:t>
      </w:r>
      <w:r>
        <w:rPr>
          <w:color w:val="C00000"/>
        </w:rPr>
        <w:br/>
        <w:t xml:space="preserve">  → </w:t>
      </w:r>
      <w:r>
        <w:rPr>
          <w:b/>
          <w:color w:val="C00000"/>
        </w:rPr>
        <w:t>MANDATORY</w:t>
      </w:r>
      <w:r>
        <w:rPr>
          <w:i/>
          <w:sz w:val="18"/>
        </w:rPr>
        <w:t xml:space="preserve"> (DORA Art. 25 - testing requirements)</w:t>
      </w:r>
    </w:p>
    <w:p>
      <w:pPr>
        <w:pStyle w:val="Heading2"/>
      </w:pPr>
      <w:r>
        <w:t>5.2 ICT Risk Register Entry</w:t>
      </w:r>
    </w:p>
    <w:p>
      <w:r>
        <w:rPr>
          <w:b/>
        </w:rPr>
        <w:t xml:space="preserve">DORA Context: </w:t>
      </w:r>
      <w:r>
        <w:t>Article 6 requires a sound, comprehensive, and well-documented ICT risk management framework. The following table clarifies what is legally required by DORA versus what constitutes governance best practice.</w:t>
      </w:r>
    </w:p>
    <w:p/>
    <w:tbl>
      <w:tblPr>
        <w:tblStyle w:val="LightGrid-Accent1"/>
        <w:tblW w:type="auto" w:w="0"/>
        <w:tblLook w:firstColumn="1" w:firstRow="1" w:lastColumn="0" w:lastRow="0" w:noHBand="0" w:noVBand="1" w:val="04A0"/>
      </w:tblPr>
      <w:tblGrid>
        <w:gridCol w:w="2880"/>
        <w:gridCol w:w="2880"/>
        <w:gridCol w:w="2880"/>
      </w:tblGrid>
      <w:tr>
        <w:tc>
          <w:tcPr>
            <w:tcW w:type="dxa" w:w="2880"/>
            <w:shd w:fill="2E75B6"/>
          </w:tcPr>
          <w:p>
            <w:pPr>
              <w:jc w:val="center"/>
            </w:pPr>
            <w:r>
              <w:rPr>
                <w:rFonts w:ascii="Arial" w:hAnsi="Arial"/>
                <w:b/>
                <w:color w:val="FFFFFF"/>
                <w:sz w:val="20"/>
              </w:rPr>
              <w:t>Information Required</w:t>
            </w:r>
          </w:p>
        </w:tc>
        <w:tc>
          <w:tcPr>
            <w:tcW w:type="dxa" w:w="2880"/>
            <w:shd w:fill="2E75B6"/>
          </w:tcPr>
          <w:p>
            <w:pPr>
              <w:jc w:val="center"/>
            </w:pPr>
            <w:r>
              <w:rPr>
                <w:rFonts w:ascii="Arial" w:hAnsi="Arial"/>
                <w:b/>
                <w:color w:val="FFFFFF"/>
                <w:sz w:val="20"/>
              </w:rPr>
              <w:t>DORA Status</w:t>
            </w:r>
          </w:p>
        </w:tc>
        <w:tc>
          <w:tcPr>
            <w:tcW w:type="dxa" w:w="2880"/>
            <w:shd w:fill="2E75B6"/>
          </w:tcPr>
          <w:p>
            <w:pPr>
              <w:jc w:val="center"/>
            </w:pPr>
            <w:r>
              <w:rPr>
                <w:rFonts w:ascii="Arial" w:hAnsi="Arial"/>
                <w:b/>
                <w:color w:val="FFFFFF"/>
                <w:sz w:val="20"/>
              </w:rPr>
              <w:t>Legal Basis / Rationale</w:t>
            </w:r>
          </w:p>
        </w:tc>
      </w:tr>
      <w:tr>
        <w:tc>
          <w:tcPr>
            <w:tcW w:type="dxa" w:w="2880"/>
          </w:tcPr>
          <w:p>
            <w:r>
              <w:t>Application name and business owner</w:t>
            </w:r>
          </w:p>
        </w:tc>
        <w:tc>
          <w:tcPr>
            <w:tcW w:type="dxa" w:w="2880"/>
          </w:tcPr>
          <w:p>
            <w:r>
              <w:rPr>
                <w:b/>
                <w:color w:val="C00000"/>
              </w:rPr>
              <w:t>MANDATORY</w:t>
            </w:r>
          </w:p>
        </w:tc>
        <w:tc>
          <w:tcPr>
            <w:tcW w:type="dxa" w:w="2880"/>
          </w:tcPr>
          <w:p>
            <w:r>
              <w:t>DORA Art. 6 - Must identify all ICT systems and their owners for risk management</w:t>
            </w:r>
          </w:p>
        </w:tc>
      </w:tr>
      <w:tr>
        <w:tc>
          <w:tcPr>
            <w:tcW w:type="dxa" w:w="2880"/>
          </w:tcPr>
          <w:p>
            <w:r>
              <w:t>Selected cloud provider and region(s)</w:t>
            </w:r>
          </w:p>
        </w:tc>
        <w:tc>
          <w:tcPr>
            <w:tcW w:type="dxa" w:w="2880"/>
          </w:tcPr>
          <w:p>
            <w:r>
              <w:rPr>
                <w:b/>
                <w:color w:val="C00000"/>
              </w:rPr>
              <w:t>MANDATORY</w:t>
            </w:r>
          </w:p>
        </w:tc>
        <w:tc>
          <w:tcPr>
            <w:tcW w:type="dxa" w:w="2880"/>
          </w:tcPr>
          <w:p>
            <w:r>
              <w:t>DORA Art. 28 &amp; 30 - Must identify third-party ICT service providers and their locations</w:t>
            </w:r>
          </w:p>
        </w:tc>
      </w:tr>
      <w:tr>
        <w:tc>
          <w:tcPr>
            <w:tcW w:type="dxa" w:w="2880"/>
          </w:tcPr>
          <w:p>
            <w:r>
              <w:t>Business criticality tier (1, 2, or 3)</w:t>
            </w:r>
          </w:p>
        </w:tc>
        <w:tc>
          <w:tcPr>
            <w:tcW w:type="dxa" w:w="2880"/>
          </w:tcPr>
          <w:p>
            <w:r>
              <w:rPr>
                <w:b/>
                <w:color w:val="FF8C00"/>
              </w:rPr>
              <w:t>BEST PRACTICE</w:t>
            </w:r>
          </w:p>
        </w:tc>
        <w:tc>
          <w:tcPr>
            <w:tcW w:type="dxa" w:w="2880"/>
          </w:tcPr>
          <w:p>
            <w:r>
              <w:t>Not explicitly required by DORA, but necessary to determine appropriate controls and resilience measures per Art. 6</w:t>
            </w:r>
          </w:p>
        </w:tc>
      </w:tr>
      <w:tr>
        <w:tc>
          <w:tcPr>
            <w:tcW w:type="dxa" w:w="2880"/>
          </w:tcPr>
          <w:p>
            <w:r>
              <w:t>Current concentration percentage calculated</w:t>
            </w:r>
          </w:p>
        </w:tc>
        <w:tc>
          <w:tcPr>
            <w:tcW w:type="dxa" w:w="2880"/>
          </w:tcPr>
          <w:p>
            <w:r>
              <w:rPr>
                <w:b/>
                <w:color w:val="C00000"/>
              </w:rPr>
              <w:t>MANDATORY</w:t>
            </w:r>
          </w:p>
        </w:tc>
        <w:tc>
          <w:tcPr>
            <w:tcW w:type="dxa" w:w="2880"/>
          </w:tcPr>
          <w:p>
            <w:r>
              <w:t>DORA Art. 28 - Must identify and monitor ICT concentration risk</w:t>
            </w:r>
          </w:p>
        </w:tc>
      </w:tr>
      <w:tr>
        <w:tc>
          <w:tcPr>
            <w:tcW w:type="dxa" w:w="2880"/>
          </w:tcPr>
          <w:p>
            <w:r>
              <w:t>Exit strategy summary (for Tier 1/2)</w:t>
            </w:r>
          </w:p>
        </w:tc>
        <w:tc>
          <w:tcPr>
            <w:tcW w:type="dxa" w:w="2880"/>
          </w:tcPr>
          <w:p>
            <w:r>
              <w:rPr>
                <w:b/>
                <w:color w:val="C00000"/>
              </w:rPr>
              <w:t>MANDATORY</w:t>
            </w:r>
          </w:p>
        </w:tc>
        <w:tc>
          <w:tcPr>
            <w:tcW w:type="dxa" w:w="2880"/>
          </w:tcPr>
          <w:p>
            <w:r>
              <w:t>DORA Art. 28 - Must document exit plans and ensure substitutability</w:t>
            </w:r>
          </w:p>
        </w:tc>
      </w:tr>
      <w:tr>
        <w:tc>
          <w:tcPr>
            <w:tcW w:type="dxa" w:w="2880"/>
          </w:tcPr>
          <w:p>
            <w:r>
              <w:t>Data sovereignty compliance status</w:t>
            </w:r>
          </w:p>
        </w:tc>
        <w:tc>
          <w:tcPr>
            <w:tcW w:type="dxa" w:w="2880"/>
          </w:tcPr>
          <w:p>
            <w:r>
              <w:rPr>
                <w:b/>
                <w:color w:val="C00000"/>
              </w:rPr>
              <w:t>MANDATORY</w:t>
            </w:r>
          </w:p>
        </w:tc>
        <w:tc>
          <w:tcPr>
            <w:tcW w:type="dxa" w:w="2880"/>
          </w:tcPr>
          <w:p>
            <w:r>
              <w:t>DORA Art. 30 - Contractual arrangements must ensure compliance with data protection regulations (GDPR)</w:t>
            </w:r>
          </w:p>
        </w:tc>
      </w:tr>
      <w:tr>
        <w:tc>
          <w:tcPr>
            <w:tcW w:type="dxa" w:w="2880"/>
          </w:tcPr>
          <w:p>
            <w:r>
              <w:t>Approval authority and date</w:t>
            </w:r>
          </w:p>
        </w:tc>
        <w:tc>
          <w:tcPr>
            <w:tcW w:type="dxa" w:w="2880"/>
          </w:tcPr>
          <w:p>
            <w:r>
              <w:rPr>
                <w:b/>
                <w:color w:val="FF8C00"/>
              </w:rPr>
              <w:t>BEST PRACTICE</w:t>
            </w:r>
          </w:p>
        </w:tc>
        <w:tc>
          <w:tcPr>
            <w:tcW w:type="dxa" w:w="2880"/>
          </w:tcPr>
          <w:p>
            <w:r>
              <w:t>Not specifically required by DORA, but part of ICT governance framework per Art. 6 (clear roles and responsibilities)</w:t>
            </w:r>
          </w:p>
        </w:tc>
      </w:tr>
      <w:tr>
        <w:tc>
          <w:tcPr>
            <w:tcW w:type="dxa" w:w="2880"/>
          </w:tcPr>
          <w:p>
            <w:r>
              <w:t>DORA compliance confirmation</w:t>
            </w:r>
          </w:p>
        </w:tc>
        <w:tc>
          <w:tcPr>
            <w:tcW w:type="dxa" w:w="2880"/>
          </w:tcPr>
          <w:p>
            <w:r>
              <w:rPr>
                <w:b/>
                <w:color w:val="FF8C00"/>
              </w:rPr>
              <w:t>BEST PRACTICE</w:t>
            </w:r>
          </w:p>
        </w:tc>
        <w:tc>
          <w:tcPr>
            <w:tcW w:type="dxa" w:w="2880"/>
          </w:tcPr>
          <w:p>
            <w:r>
              <w:t>Not required by DORA, but recommended for internal governance and audit trail</w:t>
            </w:r>
          </w:p>
        </w:tc>
      </w:tr>
    </w:tbl>
    <w:p/>
    <w:p>
      <w:r>
        <w:rPr>
          <w:b/>
        </w:rPr>
        <w:t xml:space="preserve">Summary: </w:t>
      </w:r>
      <w:r>
        <w:t>Items marked MANDATORY are legally required by DORA. Items marked BEST PRACTICE are recommended for effective governance but not explicitly mandated by the regulation.</w:t>
      </w:r>
    </w:p>
    <w:p>
      <w:pPr>
        <w:pStyle w:val="Heading2"/>
      </w:pPr>
      <w:r>
        <w:t>5.3 Testing Requirements</w:t>
      </w:r>
    </w:p>
    <w:p>
      <w:r>
        <w:rPr>
          <w:b/>
          <w:color w:val="C00000"/>
        </w:rPr>
        <w:t xml:space="preserve">DORA MANDATORY (Articles 24-25): </w:t>
      </w:r>
      <w:r>
        <w:t>Financial entities must test their ICT systems and business continuity plans at least annually, and more frequently for critical functions.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2E75B6"/>
          </w:tcPr>
          <w:p>
            <w:pPr>
              <w:jc w:val="center"/>
            </w:pPr>
            <w:r>
              <w:rPr>
                <w:rFonts w:ascii="Arial" w:hAnsi="Arial"/>
                <w:b/>
                <w:color w:val="FFFFFF"/>
                <w:sz w:val="20"/>
              </w:rPr>
              <w:t>Workload Tier</w:t>
            </w:r>
          </w:p>
        </w:tc>
        <w:tc>
          <w:tcPr>
            <w:tcW w:type="dxa" w:w="2160"/>
            <w:shd w:fill="2E75B6"/>
          </w:tcPr>
          <w:p>
            <w:pPr>
              <w:jc w:val="center"/>
            </w:pPr>
            <w:r>
              <w:rPr>
                <w:rFonts w:ascii="Arial" w:hAnsi="Arial"/>
                <w:b/>
                <w:color w:val="FFFFFF"/>
                <w:sz w:val="20"/>
              </w:rPr>
              <w:t>Test Frequency</w:t>
            </w:r>
          </w:p>
        </w:tc>
        <w:tc>
          <w:tcPr>
            <w:tcW w:type="dxa" w:w="2160"/>
            <w:shd w:fill="2E75B6"/>
          </w:tcPr>
          <w:p>
            <w:pPr>
              <w:jc w:val="center"/>
            </w:pPr>
            <w:r>
              <w:rPr>
                <w:rFonts w:ascii="Arial" w:hAnsi="Arial"/>
                <w:b/>
                <w:color w:val="FFFFFF"/>
                <w:sz w:val="20"/>
              </w:rPr>
              <w:t>What to Test</w:t>
            </w:r>
          </w:p>
        </w:tc>
        <w:tc>
          <w:tcPr>
            <w:tcW w:type="dxa" w:w="2160"/>
            <w:shd w:fill="2E75B6"/>
          </w:tcPr>
          <w:p>
            <w:pPr>
              <w:jc w:val="center"/>
            </w:pPr>
            <w:r>
              <w:rPr>
                <w:rFonts w:ascii="Arial" w:hAnsi="Arial"/>
                <w:b/>
                <w:color w:val="FFFFFF"/>
                <w:sz w:val="20"/>
              </w:rPr>
              <w:t>DORA Status</w:t>
            </w:r>
          </w:p>
        </w:tc>
      </w:tr>
      <w:tr>
        <w:tc>
          <w:tcPr>
            <w:tcW w:type="dxa" w:w="2160"/>
          </w:tcPr>
          <w:p>
            <w:r>
              <w:t>TIER 1</w:t>
              <w:br/>
              <w:t>(Critical)</w:t>
            </w:r>
          </w:p>
        </w:tc>
        <w:tc>
          <w:tcPr>
            <w:tcW w:type="dxa" w:w="2160"/>
          </w:tcPr>
          <w:p>
            <w:r>
              <w:t>Quarterly</w:t>
            </w:r>
          </w:p>
        </w:tc>
        <w:tc>
          <w:tcPr>
            <w:tcW w:type="dxa" w:w="2160"/>
          </w:tcPr>
          <w:p>
            <w:r>
              <w:t>DR failover, RTO/RPO validation, exit strategy test</w:t>
            </w:r>
          </w:p>
        </w:tc>
        <w:tc>
          <w:tcPr>
            <w:tcW w:type="dxa" w:w="2160"/>
          </w:tcPr>
          <w:p>
            <w:r>
              <w:rPr>
                <w:b/>
                <w:color w:val="C00000"/>
                <w:sz w:val="18"/>
              </w:rPr>
              <w:t>MANDATORY</w:t>
            </w:r>
          </w:p>
        </w:tc>
      </w:tr>
      <w:tr>
        <w:tc>
          <w:tcPr>
            <w:tcW w:type="dxa" w:w="2160"/>
          </w:tcPr>
          <w:p>
            <w:r>
              <w:t>TIER 2</w:t>
              <w:br/>
              <w:t>(High)</w:t>
            </w:r>
          </w:p>
        </w:tc>
        <w:tc>
          <w:tcPr>
            <w:tcW w:type="dxa" w:w="2160"/>
          </w:tcPr>
          <w:p>
            <w:r>
              <w:t>Semi-annual</w:t>
            </w:r>
          </w:p>
        </w:tc>
        <w:tc>
          <w:tcPr>
            <w:tcW w:type="dxa" w:w="2160"/>
          </w:tcPr>
          <w:p>
            <w:r>
              <w:t>DR procedures, backup restoration</w:t>
            </w:r>
          </w:p>
        </w:tc>
        <w:tc>
          <w:tcPr>
            <w:tcW w:type="dxa" w:w="2160"/>
          </w:tcPr>
          <w:p>
            <w:r>
              <w:rPr>
                <w:b/>
                <w:color w:val="FF8C00"/>
                <w:sz w:val="18"/>
              </w:rPr>
              <w:t>BEST PRACTICE</w:t>
            </w:r>
          </w:p>
        </w:tc>
      </w:tr>
      <w:tr>
        <w:tc>
          <w:tcPr>
            <w:tcW w:type="dxa" w:w="2160"/>
          </w:tcPr>
          <w:p>
            <w:r>
              <w:t>ALL Workloads</w:t>
            </w:r>
          </w:p>
        </w:tc>
        <w:tc>
          <w:tcPr>
            <w:tcW w:type="dxa" w:w="2160"/>
          </w:tcPr>
          <w:p>
            <w:r>
              <w:t>Annual</w:t>
            </w:r>
          </w:p>
        </w:tc>
        <w:tc>
          <w:tcPr>
            <w:tcW w:type="dxa" w:w="2160"/>
          </w:tcPr>
          <w:p>
            <w:r>
              <w:t>Exit strategy validation, alternative provider test</w:t>
            </w:r>
          </w:p>
        </w:tc>
        <w:tc>
          <w:tcPr>
            <w:tcW w:type="dxa" w:w="2160"/>
          </w:tcPr>
          <w:p>
            <w:r>
              <w:rPr>
                <w:b/>
                <w:color w:val="C00000"/>
                <w:sz w:val="18"/>
              </w:rPr>
              <w:t>MANDATORY</w:t>
            </w:r>
          </w:p>
        </w:tc>
      </w:tr>
    </w:tbl>
    <w:p/>
    <w:p>
      <w:r>
        <w:rPr>
          <w:b/>
        </w:rPr>
        <w:t xml:space="preserve">Note: </w:t>
      </w:r>
      <w:r>
        <w:t>DORA Art. 24 requires testing "at least annually" - the quarterly/semi-annual frequencies for Tier 1/2 exceed minimum requirements and represent best practice for critical systems.</w:t>
      </w:r>
    </w:p>
    <w:p>
      <w:pPr>
        <w:pStyle w:val="Heading1"/>
      </w:pPr>
      <w:r>
        <w:t>6. Implementation Process</w:t>
      </w:r>
    </w:p>
    <w:p>
      <w:pPr>
        <w:pStyle w:val="Heading2"/>
      </w:pPr>
      <w:r>
        <w:t>6.1 Approval Authority</w:t>
      </w:r>
    </w:p>
    <w:p>
      <w:r>
        <w:rPr>
          <w:b/>
        </w:rPr>
        <w:t xml:space="preserve">DORA Context: </w:t>
      </w:r>
      <w:r>
        <w:t>Article 6 requires clear allocation of responsibilities. While DORA does not mandate specific approval levels, it requires that decision-making authority be clearly defined and documented.</w:t>
      </w:r>
    </w:p>
    <w:p/>
    <w:tbl>
      <w:tblPr>
        <w:tblStyle w:val="LightGrid-Accent1"/>
        <w:tblW w:type="auto" w:w="0"/>
        <w:tblLook w:firstColumn="1" w:firstRow="1" w:lastColumn="0" w:lastRow="0" w:noHBand="0" w:noVBand="1" w:val="04A0"/>
      </w:tblPr>
      <w:tblGrid>
        <w:gridCol w:w="2880"/>
        <w:gridCol w:w="2880"/>
        <w:gridCol w:w="2880"/>
      </w:tblGrid>
      <w:tr>
        <w:tc>
          <w:tcPr>
            <w:tcW w:type="dxa" w:w="2880"/>
            <w:shd w:fill="2E75B6"/>
          </w:tcPr>
          <w:p>
            <w:pPr>
              <w:jc w:val="center"/>
            </w:pPr>
            <w:r>
              <w:rPr>
                <w:rFonts w:ascii="Arial" w:hAnsi="Arial"/>
                <w:b/>
                <w:color w:val="FFFFFF"/>
                <w:sz w:val="20"/>
              </w:rPr>
              <w:t>Workload Tier</w:t>
            </w:r>
          </w:p>
        </w:tc>
        <w:tc>
          <w:tcPr>
            <w:tcW w:type="dxa" w:w="2880"/>
            <w:shd w:fill="2E75B6"/>
          </w:tcPr>
          <w:p>
            <w:pPr>
              <w:jc w:val="center"/>
            </w:pPr>
            <w:r>
              <w:rPr>
                <w:rFonts w:ascii="Arial" w:hAnsi="Arial"/>
                <w:b/>
                <w:color w:val="FFFFFF"/>
                <w:sz w:val="20"/>
              </w:rPr>
              <w:t>Required Approval</w:t>
            </w:r>
          </w:p>
        </w:tc>
        <w:tc>
          <w:tcPr>
            <w:tcW w:type="dxa" w:w="2880"/>
            <w:shd w:fill="2E75B6"/>
          </w:tcPr>
          <w:p>
            <w:pPr>
              <w:jc w:val="center"/>
            </w:pPr>
            <w:r>
              <w:rPr>
                <w:rFonts w:ascii="Arial" w:hAnsi="Arial"/>
                <w:b/>
                <w:color w:val="FFFFFF"/>
                <w:sz w:val="20"/>
              </w:rPr>
              <w:t>DORA Status</w:t>
            </w:r>
          </w:p>
        </w:tc>
      </w:tr>
      <w:tr>
        <w:tc>
          <w:tcPr>
            <w:tcW w:type="dxa" w:w="2880"/>
          </w:tcPr>
          <w:p>
            <w:r>
              <w:t>TIER 1 (Critical)</w:t>
            </w:r>
          </w:p>
        </w:tc>
        <w:tc>
          <w:tcPr>
            <w:tcW w:type="dxa" w:w="2880"/>
          </w:tcPr>
          <w:p>
            <w:r>
              <w:t>CTO + DORA Compliance Officer</w:t>
            </w:r>
          </w:p>
        </w:tc>
        <w:tc>
          <w:tcPr>
            <w:tcW w:type="dxa" w:w="2880"/>
          </w:tcPr>
          <w:p>
            <w:r>
              <w:rPr>
                <w:b/>
                <w:color w:val="FF8C00"/>
                <w:sz w:val="18"/>
              </w:rPr>
              <w:t>BEST PRACTICE</w:t>
            </w:r>
          </w:p>
        </w:tc>
      </w:tr>
      <w:tr>
        <w:tc>
          <w:tcPr>
            <w:tcW w:type="dxa" w:w="2880"/>
          </w:tcPr>
          <w:p>
            <w:r>
              <w:t>TIER 2 (High)</w:t>
            </w:r>
          </w:p>
        </w:tc>
        <w:tc>
          <w:tcPr>
            <w:tcW w:type="dxa" w:w="2880"/>
          </w:tcPr>
          <w:p>
            <w:r>
              <w:t>Director Cloud Operations</w:t>
            </w:r>
          </w:p>
        </w:tc>
        <w:tc>
          <w:tcPr>
            <w:tcW w:type="dxa" w:w="2880"/>
          </w:tcPr>
          <w:p>
            <w:r>
              <w:rPr>
                <w:b/>
                <w:color w:val="FF8C00"/>
                <w:sz w:val="18"/>
              </w:rPr>
              <w:t>BEST PRACTICE</w:t>
            </w:r>
          </w:p>
        </w:tc>
      </w:tr>
      <w:tr>
        <w:tc>
          <w:tcPr>
            <w:tcW w:type="dxa" w:w="2880"/>
          </w:tcPr>
          <w:p>
            <w:r>
              <w:t>TIER 3 (Standard)</w:t>
            </w:r>
          </w:p>
        </w:tc>
        <w:tc>
          <w:tcPr>
            <w:tcW w:type="dxa" w:w="2880"/>
          </w:tcPr>
          <w:p>
            <w:r>
              <w:t>Senior Cloud Architect</w:t>
            </w:r>
          </w:p>
        </w:tc>
        <w:tc>
          <w:tcPr>
            <w:tcW w:type="dxa" w:w="2880"/>
          </w:tcPr>
          <w:p>
            <w:r>
              <w:rPr>
                <w:b/>
                <w:color w:val="FF8C00"/>
                <w:sz w:val="18"/>
              </w:rPr>
              <w:t>BEST PRACTICE</w:t>
            </w:r>
          </w:p>
        </w:tc>
      </w:tr>
    </w:tbl>
    <w:p/>
    <w:p>
      <w:r>
        <w:rPr>
          <w:b/>
        </w:rPr>
        <w:t xml:space="preserve">Rationale: </w:t>
      </w:r>
      <w:r>
        <w:t>DORA requires clear governance but does not specify approval hierarchies. These levels represent proportionate governance aligned with DORA Art. 6 (management body oversight and clear responsibilities).</w:t>
      </w:r>
    </w:p>
    <w:p>
      <w:pPr>
        <w:pStyle w:val="Heading2"/>
      </w:pPr>
      <w:r>
        <w:t>6.2 Step-by-Step Process</w:t>
      </w:r>
    </w:p>
    <w:p>
      <w:r>
        <w:t>The following process ensures DORA compliance while maintaining operational efficiency:</w:t>
      </w:r>
    </w:p>
    <w:p/>
    <w:tbl>
      <w:tblPr>
        <w:tblStyle w:val="LightGrid-Accent1"/>
        <w:tblW w:type="auto" w:w="0"/>
        <w:tblLook w:firstColumn="1" w:firstRow="1" w:lastColumn="0" w:lastRow="0" w:noHBand="0" w:noVBand="1" w:val="04A0"/>
      </w:tblPr>
      <w:tblGrid>
        <w:gridCol w:w="2880"/>
        <w:gridCol w:w="2880"/>
        <w:gridCol w:w="2880"/>
      </w:tblGrid>
      <w:tr>
        <w:tc>
          <w:tcPr>
            <w:tcW w:type="dxa" w:w="2880"/>
            <w:shd w:fill="2E75B6"/>
          </w:tcPr>
          <w:p>
            <w:pPr>
              <w:jc w:val="center"/>
            </w:pPr>
            <w:r>
              <w:rPr>
                <w:rFonts w:ascii="Arial" w:hAnsi="Arial"/>
                <w:b/>
                <w:color w:val="FFFFFF"/>
                <w:sz w:val="20"/>
              </w:rPr>
              <w:t>Step</w:t>
            </w:r>
          </w:p>
        </w:tc>
        <w:tc>
          <w:tcPr>
            <w:tcW w:type="dxa" w:w="2880"/>
            <w:shd w:fill="2E75B6"/>
          </w:tcPr>
          <w:p>
            <w:pPr>
              <w:jc w:val="center"/>
            </w:pPr>
            <w:r>
              <w:rPr>
                <w:rFonts w:ascii="Arial" w:hAnsi="Arial"/>
                <w:b/>
                <w:color w:val="FFFFFF"/>
                <w:sz w:val="20"/>
              </w:rPr>
              <w:t>Action</w:t>
            </w:r>
          </w:p>
        </w:tc>
        <w:tc>
          <w:tcPr>
            <w:tcW w:type="dxa" w:w="2880"/>
            <w:shd w:fill="2E75B6"/>
          </w:tcPr>
          <w:p>
            <w:pPr>
              <w:jc w:val="center"/>
            </w:pPr>
            <w:r>
              <w:rPr>
                <w:rFonts w:ascii="Arial" w:hAnsi="Arial"/>
                <w:b/>
                <w:color w:val="FFFFFF"/>
                <w:sz w:val="20"/>
              </w:rPr>
              <w:t>DORA Status</w:t>
            </w:r>
          </w:p>
        </w:tc>
      </w:tr>
      <w:tr>
        <w:tc>
          <w:tcPr>
            <w:tcW w:type="dxa" w:w="2880"/>
          </w:tcPr>
          <w:p>
            <w:pPr>
              <w:jc w:val="center"/>
            </w:pPr>
            <w:r>
              <w:t>1</w:t>
            </w:r>
          </w:p>
        </w:tc>
        <w:tc>
          <w:tcPr>
            <w:tcW w:type="dxa" w:w="2880"/>
          </w:tcPr>
          <w:p>
            <w:r>
              <w:t>Complete Decision Tree Assessment (Steps 1-6)</w:t>
            </w:r>
          </w:p>
        </w:tc>
        <w:tc>
          <w:tcPr>
            <w:tcW w:type="dxa" w:w="2880"/>
          </w:tcPr>
          <w:p>
            <w:r>
              <w:rPr>
                <w:b/>
                <w:color w:val="C00000"/>
                <w:sz w:val="18"/>
              </w:rPr>
              <w:t>MANDATORY</w:t>
            </w:r>
          </w:p>
        </w:tc>
      </w:tr>
      <w:tr>
        <w:tc>
          <w:tcPr>
            <w:tcW w:type="dxa" w:w="2880"/>
          </w:tcPr>
          <w:p>
            <w:pPr>
              <w:jc w:val="center"/>
            </w:pPr>
            <w:r>
              <w:t>2</w:t>
            </w:r>
          </w:p>
        </w:tc>
        <w:tc>
          <w:tcPr>
            <w:tcW w:type="dxa" w:w="2880"/>
          </w:tcPr>
          <w:p>
            <w:r>
              <w:t>Calculate Concentration Risk (review distribution report)</w:t>
            </w:r>
          </w:p>
        </w:tc>
        <w:tc>
          <w:tcPr>
            <w:tcW w:type="dxa" w:w="2880"/>
          </w:tcPr>
          <w:p>
            <w:r>
              <w:rPr>
                <w:b/>
                <w:color w:val="C00000"/>
                <w:sz w:val="18"/>
              </w:rPr>
              <w:t>MANDATORY</w:t>
            </w:r>
          </w:p>
        </w:tc>
      </w:tr>
      <w:tr>
        <w:tc>
          <w:tcPr>
            <w:tcW w:type="dxa" w:w="2880"/>
          </w:tcPr>
          <w:p>
            <w:pPr>
              <w:jc w:val="center"/>
            </w:pPr>
            <w:r>
              <w:t>3</w:t>
            </w:r>
          </w:p>
        </w:tc>
        <w:tc>
          <w:tcPr>
            <w:tcW w:type="dxa" w:w="2880"/>
          </w:tcPr>
          <w:p>
            <w:r>
              <w:t>Document Exit Strategy (for Tier 1/2 workloads)</w:t>
            </w:r>
          </w:p>
        </w:tc>
        <w:tc>
          <w:tcPr>
            <w:tcW w:type="dxa" w:w="2880"/>
          </w:tcPr>
          <w:p>
            <w:r>
              <w:rPr>
                <w:b/>
                <w:color w:val="C00000"/>
                <w:sz w:val="18"/>
              </w:rPr>
              <w:t>MANDATORY</w:t>
            </w:r>
          </w:p>
        </w:tc>
      </w:tr>
      <w:tr>
        <w:tc>
          <w:tcPr>
            <w:tcW w:type="dxa" w:w="2880"/>
          </w:tcPr>
          <w:p>
            <w:pPr>
              <w:jc w:val="center"/>
            </w:pPr>
            <w:r>
              <w:t>4</w:t>
            </w:r>
          </w:p>
        </w:tc>
        <w:tc>
          <w:tcPr>
            <w:tcW w:type="dxa" w:w="2880"/>
          </w:tcPr>
          <w:p>
            <w:r>
              <w:t>Create ICT Risk Register Entry (all mandatory fields)</w:t>
            </w:r>
          </w:p>
        </w:tc>
        <w:tc>
          <w:tcPr>
            <w:tcW w:type="dxa" w:w="2880"/>
          </w:tcPr>
          <w:p>
            <w:r>
              <w:rPr>
                <w:b/>
                <w:color w:val="C00000"/>
                <w:sz w:val="18"/>
              </w:rPr>
              <w:t>MANDATORY</w:t>
            </w:r>
          </w:p>
        </w:tc>
      </w:tr>
      <w:tr>
        <w:tc>
          <w:tcPr>
            <w:tcW w:type="dxa" w:w="2880"/>
          </w:tcPr>
          <w:p>
            <w:pPr>
              <w:jc w:val="center"/>
            </w:pPr>
            <w:r>
              <w:t>5</w:t>
            </w:r>
          </w:p>
        </w:tc>
        <w:tc>
          <w:tcPr>
            <w:tcW w:type="dxa" w:w="2880"/>
          </w:tcPr>
          <w:p>
            <w:r>
              <w:t>Obtain Approval (submit to appropriate authority)</w:t>
            </w:r>
          </w:p>
        </w:tc>
        <w:tc>
          <w:tcPr>
            <w:tcW w:type="dxa" w:w="2880"/>
          </w:tcPr>
          <w:p>
            <w:r>
              <w:rPr>
                <w:b/>
                <w:color w:val="FF8C00"/>
                <w:sz w:val="18"/>
              </w:rPr>
              <w:t>BEST PRACTICE</w:t>
            </w:r>
          </w:p>
        </w:tc>
      </w:tr>
      <w:tr>
        <w:tc>
          <w:tcPr>
            <w:tcW w:type="dxa" w:w="2880"/>
          </w:tcPr>
          <w:p>
            <w:pPr>
              <w:jc w:val="center"/>
            </w:pPr>
            <w:r>
              <w:t>6</w:t>
            </w:r>
          </w:p>
        </w:tc>
        <w:tc>
          <w:tcPr>
            <w:tcW w:type="dxa" w:w="2880"/>
          </w:tcPr>
          <w:p>
            <w:r>
              <w:t>Proceed with Deployment (only after approval)</w:t>
            </w:r>
          </w:p>
        </w:tc>
        <w:tc>
          <w:tcPr>
            <w:tcW w:type="dxa" w:w="2880"/>
          </w:tcPr>
          <w:p>
            <w:r>
              <w:rPr>
                <w:b/>
                <w:color w:val="FF8C00"/>
                <w:sz w:val="18"/>
              </w:rPr>
              <w:t>BEST PRACTICE</w:t>
            </w:r>
          </w:p>
        </w:tc>
      </w:tr>
      <w:tr>
        <w:tc>
          <w:tcPr>
            <w:tcW w:type="dxa" w:w="2880"/>
          </w:tcPr>
          <w:p>
            <w:pPr>
              <w:jc w:val="center"/>
            </w:pPr>
            <w:r>
              <w:t>7</w:t>
            </w:r>
          </w:p>
        </w:tc>
        <w:tc>
          <w:tcPr>
            <w:tcW w:type="dxa" w:w="2880"/>
          </w:tcPr>
          <w:p>
            <w:r>
              <w:t>Schedule Testing (add to testing calendar)</w:t>
            </w:r>
          </w:p>
        </w:tc>
        <w:tc>
          <w:tcPr>
            <w:tcW w:type="dxa" w:w="2880"/>
          </w:tcPr>
          <w:p>
            <w:r>
              <w:rPr>
                <w:b/>
                <w:color w:val="C00000"/>
                <w:sz w:val="18"/>
              </w:rPr>
              <w:t>MANDATORY</w:t>
            </w:r>
          </w:p>
        </w:tc>
      </w:tr>
    </w:tbl>
    <w:p/>
    <w:p>
      <w:r>
        <w:rPr>
          <w:b/>
        </w:rPr>
        <w:t xml:space="preserve">Key Distinction: </w:t>
      </w:r>
      <w:r>
        <w:t>Steps 1-4 and 7 are legally required by DORA (risk assessment, concentration monitoring, exit strategies, documentation, and testing). Steps 5-6 (approval workflow) represent governance best practice to ensure DORA requirements are met, but DORA does not prescribe specific approval processes.</w:t>
      </w:r>
    </w:p>
    <w:p/>
    <w:p>
      <w:pPr>
        <w:pStyle w:val="Heading1"/>
      </w:pPr>
      <w:r>
        <w:t>7. Immediate Actions Required</w:t>
      </w:r>
    </w:p>
    <w:p>
      <w:r>
        <w:t>To achieve DORA compliance, the following actions must be completed within the specified timeframes:</w:t>
      </w:r>
    </w:p>
    <w:tbl>
      <w:tblPr>
        <w:tblStyle w:val="LightGrid-Accent1"/>
        <w:tblW w:type="auto" w:w="0"/>
        <w:tblLook w:firstColumn="1" w:firstRow="1" w:lastColumn="0" w:lastRow="0" w:noHBand="0" w:noVBand="1" w:val="04A0"/>
      </w:tblPr>
      <w:tblGrid>
        <w:gridCol w:w="2880"/>
        <w:gridCol w:w="2880"/>
        <w:gridCol w:w="2880"/>
      </w:tblGrid>
      <w:tr>
        <w:tc>
          <w:tcPr>
            <w:tcW w:type="dxa" w:w="2880"/>
            <w:shd w:fill="2E75B6"/>
          </w:tcPr>
          <w:p>
            <w:pPr>
              <w:jc w:val="center"/>
            </w:pPr>
            <w:r>
              <w:rPr>
                <w:rFonts w:ascii="Arial" w:hAnsi="Arial"/>
                <w:b/>
                <w:color w:val="FFFFFF"/>
                <w:sz w:val="20"/>
              </w:rPr>
              <w:t>Action</w:t>
            </w:r>
          </w:p>
        </w:tc>
        <w:tc>
          <w:tcPr>
            <w:tcW w:type="dxa" w:w="2880"/>
            <w:shd w:fill="2E75B6"/>
          </w:tcPr>
          <w:p>
            <w:pPr>
              <w:jc w:val="center"/>
            </w:pPr>
            <w:r>
              <w:rPr>
                <w:rFonts w:ascii="Arial" w:hAnsi="Arial"/>
                <w:b/>
                <w:color w:val="FFFFFF"/>
                <w:sz w:val="20"/>
              </w:rPr>
              <w:t>Owner</w:t>
            </w:r>
          </w:p>
        </w:tc>
        <w:tc>
          <w:tcPr>
            <w:tcW w:type="dxa" w:w="2880"/>
            <w:shd w:fill="2E75B6"/>
          </w:tcPr>
          <w:p>
            <w:pPr>
              <w:jc w:val="center"/>
            </w:pPr>
            <w:r>
              <w:rPr>
                <w:rFonts w:ascii="Arial" w:hAnsi="Arial"/>
                <w:b/>
                <w:color w:val="FFFFFF"/>
                <w:sz w:val="20"/>
              </w:rPr>
              <w:t>Deadline</w:t>
            </w:r>
          </w:p>
        </w:tc>
      </w:tr>
      <w:tr>
        <w:tc>
          <w:tcPr>
            <w:tcW w:type="dxa" w:w="2880"/>
          </w:tcPr>
          <w:p>
            <w:r>
              <w:t>Establish ICT Risk Register</w:t>
            </w:r>
          </w:p>
        </w:tc>
        <w:tc>
          <w:tcPr>
            <w:tcW w:type="dxa" w:w="2880"/>
          </w:tcPr>
          <w:p>
            <w:r>
              <w:t>Cloud Operations</w:t>
            </w:r>
          </w:p>
        </w:tc>
        <w:tc>
          <w:tcPr>
            <w:tcW w:type="dxa" w:w="2880"/>
          </w:tcPr>
          <w:p>
            <w:r>
              <w:t>30 days</w:t>
            </w:r>
          </w:p>
        </w:tc>
      </w:tr>
      <w:tr>
        <w:tc>
          <w:tcPr>
            <w:tcW w:type="dxa" w:w="2880"/>
          </w:tcPr>
          <w:p>
            <w:r>
              <w:t>Calculate current concentration levels</w:t>
            </w:r>
          </w:p>
        </w:tc>
        <w:tc>
          <w:tcPr>
            <w:tcW w:type="dxa" w:w="2880"/>
          </w:tcPr>
          <w:p>
            <w:r>
              <w:t>Cloud Architecture</w:t>
            </w:r>
          </w:p>
        </w:tc>
        <w:tc>
          <w:tcPr>
            <w:tcW w:type="dxa" w:w="2880"/>
          </w:tcPr>
          <w:p>
            <w:r>
              <w:t>30 days</w:t>
            </w:r>
          </w:p>
        </w:tc>
      </w:tr>
      <w:tr>
        <w:tc>
          <w:tcPr>
            <w:tcW w:type="dxa" w:w="2880"/>
          </w:tcPr>
          <w:p>
            <w:r>
              <w:t>Document exit strategies for Tier 1 workloads</w:t>
            </w:r>
          </w:p>
        </w:tc>
        <w:tc>
          <w:tcPr>
            <w:tcW w:type="dxa" w:w="2880"/>
          </w:tcPr>
          <w:p>
            <w:r>
              <w:t>Application Teams</w:t>
            </w:r>
          </w:p>
        </w:tc>
        <w:tc>
          <w:tcPr>
            <w:tcW w:type="dxa" w:w="2880"/>
          </w:tcPr>
          <w:p>
            <w:r>
              <w:t>45 days</w:t>
            </w:r>
          </w:p>
        </w:tc>
      </w:tr>
      <w:tr>
        <w:tc>
          <w:tcPr>
            <w:tcW w:type="dxa" w:w="2880"/>
          </w:tcPr>
          <w:p>
            <w:r>
              <w:t>Conduct decision tree training</w:t>
            </w:r>
          </w:p>
        </w:tc>
        <w:tc>
          <w:tcPr>
            <w:tcW w:type="dxa" w:w="2880"/>
          </w:tcPr>
          <w:p>
            <w:r>
              <w:t>Cloud Governance</w:t>
            </w:r>
          </w:p>
        </w:tc>
        <w:tc>
          <w:tcPr>
            <w:tcW w:type="dxa" w:w="2880"/>
          </w:tcPr>
          <w:p>
            <w:r>
              <w:t>60 days</w:t>
            </w:r>
          </w:p>
        </w:tc>
      </w:tr>
      <w:tr>
        <w:tc>
          <w:tcPr>
            <w:tcW w:type="dxa" w:w="2880"/>
          </w:tcPr>
          <w:p>
            <w:r>
              <w:t>Implement concentration monitoring</w:t>
            </w:r>
          </w:p>
        </w:tc>
        <w:tc>
          <w:tcPr>
            <w:tcW w:type="dxa" w:w="2880"/>
          </w:tcPr>
          <w:p>
            <w:r>
              <w:t>Cloud Operations</w:t>
            </w:r>
          </w:p>
        </w:tc>
        <w:tc>
          <w:tcPr>
            <w:tcW w:type="dxa" w:w="2880"/>
          </w:tcPr>
          <w:p>
            <w:r>
              <w:t>90 days</w:t>
            </w:r>
          </w:p>
        </w:tc>
      </w:tr>
    </w:tbl>
    <w:p/>
    <w:p>
      <w:r>
        <w:rPr>
          <w:b/>
          <w:color w:val="C00000"/>
        </w:rPr>
        <w:t xml:space="preserve">CRITICAL: </w:t>
      </w:r>
      <w:r>
        <w:t>No new cloud deployments should proceed without following this decision tree and obtaining required approvals.</w:t>
      </w:r>
    </w:p>
    <w:p>
      <w:r>
        <w:br w:type="page"/>
      </w:r>
    </w:p>
    <w:p>
      <w:pPr>
        <w:pStyle w:val="Heading1"/>
      </w:pPr>
      <w:r>
        <w:t>Document Control</w:t>
      </w:r>
    </w:p>
    <w:p>
      <w:pPr>
        <w:pStyle w:val="Heading2"/>
      </w:pPr>
      <w:r>
        <w:t>Version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2E75B6"/>
          </w:tcPr>
          <w:p>
            <w:pPr>
              <w:jc w:val="center"/>
            </w:pPr>
            <w:r>
              <w:rPr>
                <w:rFonts w:ascii="Arial" w:hAnsi="Arial"/>
                <w:b/>
                <w:color w:val="FFFFFF"/>
                <w:sz w:val="20"/>
              </w:rPr>
              <w:t>Version</w:t>
            </w:r>
          </w:p>
        </w:tc>
        <w:tc>
          <w:tcPr>
            <w:tcW w:type="dxa" w:w="2160"/>
            <w:shd w:fill="2E75B6"/>
          </w:tcPr>
          <w:p>
            <w:pPr>
              <w:jc w:val="center"/>
            </w:pPr>
            <w:r>
              <w:rPr>
                <w:rFonts w:ascii="Arial" w:hAnsi="Arial"/>
                <w:b/>
                <w:color w:val="FFFFFF"/>
                <w:sz w:val="20"/>
              </w:rPr>
              <w:t>Date</w:t>
            </w:r>
          </w:p>
        </w:tc>
        <w:tc>
          <w:tcPr>
            <w:tcW w:type="dxa" w:w="2160"/>
            <w:shd w:fill="2E75B6"/>
          </w:tcPr>
          <w:p>
            <w:pPr>
              <w:jc w:val="center"/>
            </w:pPr>
            <w:r>
              <w:rPr>
                <w:rFonts w:ascii="Arial" w:hAnsi="Arial"/>
                <w:b/>
                <w:color w:val="FFFFFF"/>
                <w:sz w:val="20"/>
              </w:rPr>
              <w:t>Author</w:t>
            </w:r>
          </w:p>
        </w:tc>
        <w:tc>
          <w:tcPr>
            <w:tcW w:type="dxa" w:w="2160"/>
            <w:shd w:fill="2E75B6"/>
          </w:tcPr>
          <w:p>
            <w:pPr>
              <w:jc w:val="center"/>
            </w:pPr>
            <w:r>
              <w:rPr>
                <w:rFonts w:ascii="Arial" w:hAnsi="Arial"/>
                <w:b/>
                <w:color w:val="FFFFFF"/>
                <w:sz w:val="20"/>
              </w:rPr>
              <w:t>Changes</w:t>
            </w:r>
          </w:p>
        </w:tc>
      </w:tr>
      <w:tr>
        <w:tc>
          <w:tcPr>
            <w:tcW w:type="dxa" w:w="2160"/>
          </w:tcPr>
          <w:p>
            <w:pPr>
              <w:jc w:val="center"/>
            </w:pPr>
            <w:r>
              <w:t>1.0</w:t>
            </w:r>
          </w:p>
        </w:tc>
        <w:tc>
          <w:tcPr>
            <w:tcW w:type="dxa" w:w="2160"/>
          </w:tcPr>
          <w:p>
            <w:pPr>
              <w:jc w:val="center"/>
            </w:pPr>
            <w:r>
              <w:t>Dec 2025</w:t>
            </w:r>
          </w:p>
        </w:tc>
        <w:tc>
          <w:tcPr>
            <w:tcW w:type="dxa" w:w="2160"/>
          </w:tcPr>
          <w:p>
            <w:r>
              <w:t>Cloud Architecture Team</w:t>
            </w:r>
          </w:p>
        </w:tc>
        <w:tc>
          <w:tcPr>
            <w:tcW w:type="dxa" w:w="2160"/>
          </w:tcPr>
          <w:p>
            <w:r>
              <w:t>Simplified version for Group implementation</w:t>
            </w:r>
          </w:p>
        </w:tc>
      </w:tr>
    </w:tbl>
    <w:p>
      <w:pPr>
        <w:pStyle w:val="Heading2"/>
      </w:pPr>
      <w:r>
        <w:t>Approval</w:t>
      </w:r>
    </w:p>
    <w:tbl>
      <w:tblPr>
        <w:tblStyle w:val="LightGrid-Accent1"/>
        <w:tblW w:type="auto" w:w="0"/>
        <w:tblLook w:firstColumn="1" w:firstRow="1" w:lastColumn="0" w:lastRow="0" w:noHBand="0" w:noVBand="1" w:val="04A0"/>
      </w:tblPr>
      <w:tblGrid>
        <w:gridCol w:w="2880"/>
        <w:gridCol w:w="2880"/>
        <w:gridCol w:w="2880"/>
      </w:tblGrid>
      <w:tr>
        <w:tc>
          <w:tcPr>
            <w:tcW w:type="dxa" w:w="2880"/>
            <w:shd w:fill="2E75B6"/>
          </w:tcPr>
          <w:p>
            <w:pPr>
              <w:jc w:val="center"/>
            </w:pPr>
            <w:r>
              <w:rPr>
                <w:rFonts w:ascii="Arial" w:hAnsi="Arial"/>
                <w:b/>
                <w:color w:val="FFFFFF"/>
                <w:sz w:val="20"/>
              </w:rPr>
              <w:t>Role</w:t>
            </w:r>
          </w:p>
        </w:tc>
        <w:tc>
          <w:tcPr>
            <w:tcW w:type="dxa" w:w="2880"/>
            <w:shd w:fill="2E75B6"/>
          </w:tcPr>
          <w:p>
            <w:pPr>
              <w:jc w:val="center"/>
            </w:pPr>
            <w:r>
              <w:rPr>
                <w:rFonts w:ascii="Arial" w:hAnsi="Arial"/>
                <w:b/>
                <w:color w:val="FFFFFF"/>
                <w:sz w:val="20"/>
              </w:rPr>
              <w:t>Name</w:t>
            </w:r>
          </w:p>
        </w:tc>
        <w:tc>
          <w:tcPr>
            <w:tcW w:type="dxa" w:w="2880"/>
            <w:shd w:fill="2E75B6"/>
          </w:tcPr>
          <w:p>
            <w:pPr>
              <w:jc w:val="center"/>
            </w:pPr>
            <w:r>
              <w:rPr>
                <w:rFonts w:ascii="Arial" w:hAnsi="Arial"/>
                <w:b/>
                <w:color w:val="FFFFFF"/>
                <w:sz w:val="20"/>
              </w:rPr>
              <w:t>Signature/Date</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rPr>
                <w:b/>
              </w:rPr>
              <w:t>Prepared by:</w:t>
            </w:r>
          </w:p>
        </w:tc>
        <w:tc>
          <w:tcPr>
            <w:tcW w:type="dxa" w:w="2880"/>
          </w:tcPr>
          <w:p>
            <w:r>
              <w:t>Senior Lead Cloud Architect</w:t>
            </w:r>
          </w:p>
        </w:tc>
        <w:tc>
          <w:tcPr>
            <w:tcW w:type="dxa" w:w="2880"/>
          </w:tcPr>
          <w:p>
            <w:r>
              <w:t>_________________</w:t>
            </w:r>
          </w:p>
        </w:tc>
      </w:tr>
      <w:tr>
        <w:tc>
          <w:tcPr>
            <w:tcW w:type="dxa" w:w="2880"/>
          </w:tcPr>
          <w:p>
            <w:r>
              <w:rPr>
                <w:b/>
              </w:rPr>
              <w:t>Reviewed by:</w:t>
            </w:r>
          </w:p>
        </w:tc>
        <w:tc>
          <w:tcPr>
            <w:tcW w:type="dxa" w:w="2880"/>
          </w:tcPr>
          <w:p>
            <w:r>
              <w:t>DORA Compliance Officer</w:t>
            </w:r>
          </w:p>
        </w:tc>
        <w:tc>
          <w:tcPr>
            <w:tcW w:type="dxa" w:w="2880"/>
          </w:tcPr>
          <w:p>
            <w:r>
              <w:t>_________________</w:t>
            </w:r>
          </w:p>
        </w:tc>
      </w:tr>
      <w:tr>
        <w:tc>
          <w:tcPr>
            <w:tcW w:type="dxa" w:w="2880"/>
          </w:tcPr>
          <w:p>
            <w:r>
              <w:rPr>
                <w:b/>
              </w:rPr>
              <w:t>Approved by:</w:t>
            </w:r>
          </w:p>
        </w:tc>
        <w:tc>
          <w:tcPr>
            <w:tcW w:type="dxa" w:w="2880"/>
          </w:tcPr>
          <w:p>
            <w:r>
              <w:t>CTO</w:t>
            </w:r>
          </w:p>
        </w:tc>
        <w:tc>
          <w:tcPr>
            <w:tcW w:type="dxa" w:w="2880"/>
          </w:tcPr>
          <w:p>
            <w:r>
              <w:t>_________________</w:t>
            </w:r>
          </w:p>
        </w:tc>
      </w:tr>
    </w:tbl>
    <w:p/>
    <w:p>
      <w:pPr>
        <w:jc w:val="center"/>
      </w:pPr>
      <w:r>
        <w:rPr>
          <w:b/>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E75B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