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ageBreakBefore/>
      </w:pPr>
      <w:r>
        <w:t xml:space="preserve">Hybrid Architecture Consideration</w:t>
      </w:r>
    </w:p>
    <w:p>
      <w:pPr>
        <w:pStyle w:val="Heading3"/>
        <w:spacing w:before="300" w:after="200"/>
      </w:pPr>
      <w:r>
        <w:t xml:space="preserve">Performance Analysis for Small Payloads (&lt;2MB)</w:t>
      </w:r>
    </w:p>
    <w:p>
      <w:pPr>
        <w:spacing w:after="300"/>
      </w:pPr>
      <w:r>
        <w:rPr>
          <w:sz w:val="22"/>
          <w:szCs w:val="22"/>
        </w:rPr>
        <w:t xml:space="preserve">Additional benchmark testing with very small payloads (&lt;2MB) reveals a nuanced performance profile that merits architectural consideration for high-throughput systems such as XENA MVP2.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/>
            <w:vAlign w:val="center"/>
          </w:tcPr>
          <w:p>
            <w:r>
              <w:t xml:space="preserve">Operation</w:t>
            </w:r>
          </w:p>
        </w:tc>
        <w:tc>
          <w:tcPr>
            <w:shd w:fill="1F4E78"/>
            <w:vAlign w:val="center"/>
          </w:tcPr>
          <w:p>
            <w:r>
              <w:t xml:space="preserve">Duration (ms)</w:t>
            </w:r>
          </w:p>
        </w:tc>
        <w:tc>
          <w:tcPr>
            <w:shd w:fill="1F4E78"/>
            <w:vAlign w:val="center"/>
          </w:tcPr>
          <w:p>
            <w:r>
              <w:t xml:space="preserve">Performance Delta</w:t>
            </w:r>
          </w:p>
        </w:tc>
        <w:tc>
          <w:tcPr>
            <w:shd w:fill="1F4E78"/>
            <w:vAlign w:val="center"/>
          </w:tcPr>
          <w:p>
            <w:r>
              <w:t xml:space="preserve">Assessment</w:t>
            </w:r>
          </w:p>
        </w:tc>
      </w:tr>
      <w:tr>
        <w:tc>
          <w:tcPr>
            <w:vAlign w:val="top"/>
          </w:tcPr>
          <w:p>
            <w:r>
              <w:t xml:space="preserve">Redis Download (GET)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00B050"/>
              </w:rPr>
              <w:t xml:space="preserve">91</w:t>
            </w:r>
          </w:p>
        </w:tc>
        <w:tc>
          <w:tcPr>
            <w:vAlign w:val="center"/>
          </w:tcPr>
          <w:p>
            <w:r>
              <w:t xml:space="preserve">Baseline</w:t>
            </w:r>
          </w:p>
        </w:tc>
        <w:tc>
          <w:tcPr>
            <w:vAlign w:val="top"/>
          </w:tcPr>
          <w:p>
            <w:r>
              <w:t xml:space="preserve">Faster for small payloads</w:t>
            </w:r>
          </w:p>
        </w:tc>
      </w:tr>
      <w:tr>
        <w:tc>
          <w:tcPr>
            <w:vAlign w:val="top"/>
          </w:tcPr>
          <w:p>
            <w:r>
              <w:t xml:space="preserve">S3 Streaming Download</w:t>
            </w:r>
          </w:p>
        </w:tc>
        <w:tc>
          <w:tcPr>
            <w:vAlign w:val="center"/>
          </w:tcPr>
          <w:p>
            <w:r>
              <w:t xml:space="preserve">121</w:t>
            </w:r>
          </w:p>
        </w:tc>
        <w:tc>
          <w:tcPr>
            <w:vAlign w:val="center"/>
          </w:tcPr>
          <w:p>
            <w:r>
              <w:t xml:space="preserve">+30ms (33% slower)</w:t>
            </w:r>
          </w:p>
        </w:tc>
        <w:tc>
          <w:tcPr>
            <w:vAlign w:val="top"/>
          </w:tcPr>
          <w:p>
            <w:r>
              <w:t xml:space="preserve">Negligible in context of total request latency</w:t>
            </w:r>
          </w:p>
        </w:tc>
      </w:tr>
    </w:tbl>
    <w:p>
      <w:pPr>
        <w:pStyle w:val="Heading3"/>
        <w:spacing w:before="400" w:after="200"/>
      </w:pPr>
      <w:r>
        <w:t xml:space="preserve">Key Observations for Small Payloads: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1. Redis Performance Advantage for Small Files</w:t>
      </w:r>
    </w:p>
    <w:p>
      <w:pPr>
        <w:spacing w:after="300"/>
      </w:pPr>
      <w:r>
        <w:rPr>
          <w:sz w:val="22"/>
          <w:szCs w:val="22"/>
        </w:rPr>
        <w:t xml:space="preserve">For files &lt;2MB, Redis demonstrates a marginal performance advantage of approximately 20-50ms over S3. Redis Download (GET) completes in 91ms compared to S3 Streaming's 121ms, representing a 30ms (33%) advantage.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2. Relative Significance of Performance Delta</w:t>
      </w:r>
    </w:p>
    <w:p>
      <w:pPr>
        <w:spacing w:after="300"/>
      </w:pPr>
      <w:r>
        <w:rPr>
          <w:sz w:val="22"/>
          <w:szCs w:val="22"/>
        </w:rPr>
        <w:t xml:space="preserve">While Redis maintains a performance edge for small payloads, the absolute difference (20-50ms) is </w:t>
      </w:r>
      <w:r>
        <w:rPr>
          <w:i/>
          <w:iCs/>
          <w:sz w:val="22"/>
          <w:szCs w:val="22"/>
        </w:rPr>
        <w:t xml:space="preserve">negligible in the context of typical end-to-end request latency</w:t>
      </w:r>
      <w:r>
        <w:rPr>
          <w:sz w:val="22"/>
          <w:szCs w:val="22"/>
        </w:rPr>
        <w:t xml:space="preserve">. For comparison, network round-trip times, database queries, and business logic processing typically introduce latencies of 100-500ms or more. The marginal 30ms improvement represents &lt;10% of typical total request time.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3. Cost vs. Performance Trade-off</w:t>
      </w:r>
    </w:p>
    <w:p>
      <w:pPr>
        <w:spacing w:after="400"/>
      </w:pPr>
      <w:r>
        <w:rPr>
          <w:sz w:val="22"/>
          <w:szCs w:val="22"/>
        </w:rPr>
        <w:t xml:space="preserve">The 30ms performance advantage must be weighed against the substantial cost differential. Even for small files, S3 maintains a 99%+ cost advantage over Redis. For high-volume systems processing millions of small payloads, the cumulative cost of Redis-based storage becomes prohibitive relative to the marginal latency benefit.</w:t>
      </w:r>
    </w:p>
    <w:p>
      <w:pPr>
        <w:pStyle w:val="Heading2"/>
        <w:pageBreakBefore/>
      </w:pPr>
      <w:r>
        <w:t xml:space="preserve">Hybrid Architecture Model</w:t>
      </w:r>
    </w:p>
    <w:p>
      <w:pPr>
        <w:spacing w:after="300"/>
      </w:pPr>
      <w:r>
        <w:rPr>
          <w:sz w:val="22"/>
          <w:szCs w:val="22"/>
        </w:rPr>
        <w:t xml:space="preserve">For high-throughput systems such as XENA MVP2, a </w:t>
      </w:r>
      <w:r>
        <w:rPr>
          <w:b/>
          <w:bCs/>
          <w:sz w:val="22"/>
          <w:szCs w:val="22"/>
        </w:rPr>
        <w:t xml:space="preserve">size-based routing strategy</w:t>
      </w:r>
      <w:r>
        <w:rPr>
          <w:sz w:val="22"/>
          <w:szCs w:val="22"/>
        </w:rPr>
        <w:t xml:space="preserve"> may be considered to optimize both performance and cost across varying payload sizes.</w:t>
      </w:r>
    </w:p>
    <w:p>
      <w:pPr>
        <w:pStyle w:val="Heading3"/>
        <w:spacing w:before="300" w:after="200"/>
      </w:pPr>
      <w:r>
        <w:t xml:space="preserve">Proposed Routing Strategy: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8"/>
            <w:vAlign w:val="center"/>
          </w:tcPr>
          <w:p>
            <w:r>
              <w:t xml:space="preserve">Payload Size</w:t>
            </w:r>
          </w:p>
        </w:tc>
        <w:tc>
          <w:tcPr>
            <w:shd w:fill="1F4E78"/>
            <w:vAlign w:val="center"/>
          </w:tcPr>
          <w:p>
            <w:r>
              <w:t xml:space="preserve">Storage Backend</w:t>
            </w:r>
          </w:p>
        </w:tc>
        <w:tc>
          <w:tcPr>
            <w:shd w:fill="1F4E78"/>
            <w:vAlign w:val="center"/>
          </w:tcPr>
          <w:p>
            <w:r>
              <w:t xml:space="preserve">Rationale</w:t>
            </w:r>
          </w:p>
        </w:tc>
      </w:tr>
      <w:tr>
        <w:tc>
          <w:tcPr>
            <w:shd w:fill="FFF4E6"/>
            <w:vAlign w:val="top"/>
          </w:tcPr>
          <w:p>
            <w:r>
              <w:rPr>
                <w:b/>
                <w:bCs/>
              </w:rPr>
              <w:t xml:space="preserve">&lt; 2 MB</w:t>
            </w:r>
          </w:p>
        </w:tc>
        <w:tc>
          <w:tcPr>
            <w:shd w:fill="FFF4E6"/>
            <w:vAlign w:val="center"/>
          </w:tcPr>
          <w:p>
            <w:r>
              <w:rPr>
                <w:b/>
                <w:bCs/>
                <w:color w:val="C00000"/>
              </w:rPr>
              <w:t xml:space="preserve">Redis</w:t>
            </w:r>
          </w:p>
        </w:tc>
        <w:tc>
          <w:tcPr>
            <w:shd w:fill="FFF4E6"/>
            <w:vAlign w:val="top"/>
          </w:tcPr>
          <w:p>
            <w:r>
              <w:t xml:space="preserve">Marginal performance advantage (20-50ms faster). Low memory footprint acceptable for small payloads.</w:t>
            </w:r>
          </w:p>
        </w:tc>
      </w:tr>
      <w:tr>
        <w:tc>
          <w:tcPr>
            <w:shd w:fill="E6F4EA"/>
            <w:vAlign w:val="top"/>
          </w:tcPr>
          <w:p>
            <w:r>
              <w:rPr>
                <w:b/>
                <w:bCs/>
              </w:rPr>
              <w:t xml:space="preserve">≥ 2 MB</w:t>
            </w:r>
          </w:p>
        </w:tc>
        <w:tc>
          <w:tcPr>
            <w:shd w:fill="E6F4EA"/>
            <w:vAlign w:val="center"/>
          </w:tcPr>
          <w:p>
            <w:r>
              <w:rPr>
                <w:b/>
                <w:bCs/>
                <w:color w:val="00B050"/>
              </w:rPr>
              <w:t xml:space="preserve">S3</w:t>
            </w:r>
          </w:p>
        </w:tc>
        <w:tc>
          <w:tcPr>
            <w:shd w:fill="E6F4EA"/>
            <w:vAlign w:val="top"/>
          </w:tcPr>
          <w:p>
            <w:r>
              <w:t xml:space="preserve">Superior performance, 99.5% cost reduction, streaming capabilities, unlimited scalability. Prevents Redis memory pressure.</w:t>
            </w:r>
          </w:p>
        </w:tc>
      </w:tr>
    </w:tbl>
    <w:p>
      <w:pPr>
        <w:pStyle w:val="Heading3"/>
        <w:spacing w:before="400" w:after="200"/>
      </w:pPr>
      <w:r>
        <w:t xml:space="preserve">Implementation Approach:</w:t>
      </w:r>
    </w:p>
    <w:p>
      <w:pPr>
        <w:spacing w:after="100"/>
      </w:pPr>
      <w:r>
        <w:rPr>
          <w:b/>
          <w:bCs/>
        </w:rPr>
        <w:t xml:space="preserve">1. Size-Based Router Component</w:t>
      </w:r>
    </w:p>
    <w:p>
      <w:pPr>
        <w:spacing w:after="100"/>
      </w:pPr>
      <w:r>
        <w:t xml:space="preserve">   Implement lightweight routing logic at the ingress point: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Inspect payload size metadata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Route payloads &lt;2MB to Redis storage path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   • Route payloads ≥2MB to S3 storage path</w:t>
      </w:r>
    </w:p>
    <w:p>
      <w:pPr>
        <w:spacing w:after="100"/>
      </w:pPr>
      <w:r>
        <w:rPr>
          <w:b/>
          <w:bCs/>
        </w:rPr>
        <w:t xml:space="preserve">2. Unified Consumer Interface</w:t>
      </w:r>
    </w:p>
    <w:p>
      <w:pPr>
        <w:spacing w:after="100"/>
      </w:pPr>
      <w:r>
        <w:t xml:space="preserve">   Abstract storage implementation from consumers: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Single message format includes storage type indicator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Consumer logic transparently handles both Redis keys and S3 references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   • No changes required to downstream processing logic</w:t>
      </w:r>
    </w:p>
    <w:p>
      <w:pPr>
        <w:spacing w:after="100"/>
      </w:pPr>
      <w:r>
        <w:rPr>
          <w:b/>
          <w:bCs/>
        </w:rPr>
        <w:t xml:space="preserve">3. Operational Monitoring</w:t>
      </w:r>
    </w:p>
    <w:p>
      <w:pPr>
        <w:spacing w:after="100"/>
      </w:pPr>
      <w:r>
        <w:t xml:space="preserve">   Track distribution metrics to validate assumptions: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Percentage of requests routed to each path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• Cost allocation by storage type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 • Performance metrics segregated by routing path</w:t>
      </w:r>
    </w:p>
    <w:p>
      <w:pPr>
        <w:pStyle w:val="Heading3"/>
        <w:spacing w:before="300" w:after="200"/>
      </w:pPr>
      <w:r>
        <w:t xml:space="preserve">Benefits of Hybrid Approach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Optimal performance for all payload sizes</w:t>
      </w:r>
    </w:p>
    <w:p>
      <w:pPr>
        <w:spacing w:after="150"/>
      </w:pPr>
      <w:r>
        <w:t xml:space="preserve">   Leverages Redis speed advantage for small payloads while utilizing S3 efficiency for large files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Cost optimization through tiered storage</w:t>
      </w:r>
    </w:p>
    <w:p>
      <w:pPr>
        <w:spacing w:after="150"/>
      </w:pPr>
      <w:r>
        <w:t xml:space="preserve">   Minimizes Redis memory footprint by routing large payloads to S3, reducing infrastructure costs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Risk mitigation through memory pressure management</w:t>
      </w:r>
    </w:p>
    <w:p>
      <w:pPr>
        <w:spacing w:after="150"/>
      </w:pPr>
      <w:r>
        <w:t xml:space="preserve">   Prevents Redis OOM scenarios by ensuring large payloads never enter memory-constrained storage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Future-proof architecture</w:t>
      </w:r>
    </w:p>
    <w:p>
      <w:pPr>
        <w:spacing w:after="400"/>
      </w:pPr>
      <w:r>
        <w:t xml:space="preserve">   Routing logic provides flexibility to adjust threshold based on observed traffic patterns and cost evolution</w:t>
      </w:r>
    </w:p>
    <w:p>
      <w:pPr>
        <w:pStyle w:val="Heading3"/>
        <w:spacing w:before="300" w:after="200"/>
      </w:pPr>
      <w:r>
        <w:t xml:space="preserve">Implementation Considerations</w:t>
      </w:r>
    </w:p>
    <w:p>
      <w:pPr>
        <w:spacing w:after="100"/>
      </w:pPr>
      <w:r>
        <w:rPr>
          <w:b/>
          <w:bCs/>
          <w:color w:val="C00000"/>
        </w:rPr>
        <w:t xml:space="preserve">⚠ </w:t>
      </w:r>
      <w:r>
        <w:rPr>
          <w:b/>
          <w:bCs/>
        </w:rPr>
        <w:t xml:space="preserve">Increased architectural complexity</w:t>
      </w:r>
    </w:p>
    <w:p>
      <w:pPr>
        <w:spacing w:after="150"/>
      </w:pPr>
      <w:r>
        <w:t xml:space="preserve">   Dual storage paths introduce additional code paths, testing requirements, and operational overhead. The complexity cost must be justified by workload characteristics.</w:t>
      </w:r>
    </w:p>
    <w:p>
      <w:pPr>
        <w:spacing w:after="100"/>
      </w:pPr>
      <w:r>
        <w:rPr>
          <w:b/>
          <w:bCs/>
          <w:color w:val="C00000"/>
        </w:rPr>
        <w:t xml:space="preserve">⚠ </w:t>
      </w:r>
      <w:r>
        <w:rPr>
          <w:b/>
          <w:bCs/>
        </w:rPr>
        <w:t xml:space="preserve">Workload distribution analysis required</w:t>
      </w:r>
    </w:p>
    <w:p>
      <w:pPr>
        <w:spacing w:after="150"/>
      </w:pPr>
      <w:r>
        <w:t xml:space="preserve">   Value proposition depends critically on actual size distribution. If &gt;95% of payloads exceed 2MB, hybrid complexity is unjustified.</w:t>
      </w:r>
    </w:p>
    <w:p>
      <w:pPr>
        <w:spacing w:after="100"/>
      </w:pPr>
      <w:r>
        <w:rPr>
          <w:b/>
          <w:bCs/>
          <w:color w:val="C00000"/>
        </w:rPr>
        <w:t xml:space="preserve">⚠ </w:t>
      </w:r>
      <w:r>
        <w:rPr>
          <w:b/>
          <w:bCs/>
        </w:rPr>
        <w:t xml:space="preserve">Marginal performance benefit for small payloads</w:t>
      </w:r>
    </w:p>
    <w:p>
      <w:pPr>
        <w:spacing w:after="400"/>
      </w:pPr>
      <w:r>
        <w:t xml:space="preserve">   The 20-50ms advantage for &lt;2MB payloads is unlikely to materially impact user experience or system throughput in most scenarios.</w:t>
      </w:r>
    </w:p>
    <w:p>
      <w:pPr>
        <w:pStyle w:val="Heading2"/>
        <w:pageBreakBefore/>
      </w:pPr>
      <w:r>
        <w:t xml:space="preserve">Decision Framework</w:t>
      </w:r>
    </w:p>
    <w:p>
      <w:pPr>
        <w:pStyle w:val="Heading3"/>
        <w:spacing w:before="300" w:after="200"/>
      </w:pPr>
      <w:r>
        <w:t xml:space="preserve">Recommended Approach Based on Workload Profile: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8"/>
            <w:vAlign w:val="center"/>
          </w:tcPr>
          <w:p>
            <w:r>
              <w:t xml:space="preserve">Workload Profile</w:t>
            </w:r>
          </w:p>
        </w:tc>
        <w:tc>
          <w:tcPr>
            <w:shd w:fill="1F4E78"/>
            <w:vAlign w:val="center"/>
          </w:tcPr>
          <w:p>
            <w:r>
              <w:t xml:space="preserve">Recommended Architecture</w:t>
            </w:r>
          </w:p>
        </w:tc>
        <w:tc>
          <w:tcPr>
            <w:shd w:fill="1F4E78"/>
            <w:vAlign w:val="center"/>
          </w:tcPr>
          <w:p>
            <w:r>
              <w:t xml:space="preserve">Justification</w:t>
            </w:r>
          </w:p>
        </w:tc>
      </w:tr>
      <w:tr>
        <w:tc>
          <w:tcPr>
            <w:vAlign w:val="top"/>
          </w:tcPr>
          <w:p>
            <w:r>
              <w:t xml:space="preserve">&gt;95% of payloads &gt;100MB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00B050"/>
              </w:rPr>
              <w:t xml:space="preserve">Pure S3</w:t>
            </w:r>
          </w:p>
        </w:tc>
        <w:tc>
          <w:tcPr>
            <w:vAlign w:val="top"/>
          </w:tcPr>
          <w:p>
            <w:r>
              <w:t xml:space="preserve">Hybrid complexity unjustified. S3 superior for large files.</w:t>
            </w:r>
          </w:p>
        </w:tc>
      </w:tr>
      <w:tr>
        <w:tc>
          <w:tcPr>
            <w:vAlign w:val="top"/>
          </w:tcPr>
          <w:p>
            <w:r>
              <w:t xml:space="preserve">30-70% payloads &lt;2MB, stringent latency SLA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9900"/>
              </w:rPr>
              <w:t xml:space="preserve">Hybrid</w:t>
            </w:r>
          </w:p>
        </w:tc>
        <w:tc>
          <w:tcPr>
            <w:vAlign w:val="top"/>
          </w:tcPr>
          <w:p>
            <w:r>
              <w:t xml:space="preserve">Significant small-payload volume justifies routing complexity.</w:t>
            </w:r>
          </w:p>
        </w:tc>
      </w:tr>
      <w:tr>
        <w:tc>
          <w:tcPr>
            <w:vAlign w:val="top"/>
          </w:tcPr>
          <w:p>
            <w:r>
              <w:t xml:space="preserve">&gt;70% payloads &lt;2MB, relaxed latency SLA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00B050"/>
              </w:rPr>
              <w:t xml:space="preserve">Pure S3</w:t>
            </w:r>
          </w:p>
        </w:tc>
        <w:tc>
          <w:tcPr>
            <w:vAlign w:val="top"/>
          </w:tcPr>
          <w:p>
            <w:r>
              <w:t xml:space="preserve">30ms delta negligible in typical request path. Simplicity preferred.</w:t>
            </w:r>
          </w:p>
        </w:tc>
      </w:tr>
    </w:tbl>
    <w:p>
      <w:pPr>
        <w:pStyle w:val="Heading3"/>
        <w:spacing w:before="400" w:after="200"/>
      </w:pPr>
      <w:r>
        <w:t xml:space="preserve">XENA MVP2 Recommendation:</w:t>
      </w:r>
    </w:p>
    <w:p>
      <w:pPr>
        <w:spacing w:after="300"/>
      </w:pPr>
      <w:r>
        <w:rPr>
          <w:sz w:val="22"/>
          <w:szCs w:val="22"/>
        </w:rPr>
        <w:t xml:space="preserve">Based on GRID's calibration use case (156-256MB files representing the majority of workload), a </w:t>
      </w:r>
      <w:r>
        <w:rPr>
          <w:b/>
          <w:bCs/>
          <w:color w:val="00B050"/>
          <w:sz w:val="22"/>
          <w:szCs w:val="22"/>
        </w:rPr>
        <w:t xml:space="preserve">pure S3 architecture</w:t>
      </w:r>
      <w:r>
        <w:rPr>
          <w:sz w:val="22"/>
          <w:szCs w:val="22"/>
        </w:rPr>
        <w:t xml:space="preserve"> is recommended as the optimal approach: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Workload characteristics: </w:t>
      </w:r>
      <w:r>
        <w:t xml:space="preserve">GRID calibration files consistently exceed 100MB, well above the 2MB threshold where S3 demonstrates superior performance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Simplicity over marginal optimization: </w:t>
      </w:r>
      <w:r>
        <w:t xml:space="preserve">Single storage path reduces operational complexity, testing surface, and maintenance burden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Cost efficiency at scale: </w:t>
      </w:r>
      <w:r>
        <w:t xml:space="preserve">99.5% cost reduction ($55,987 annual savings) outweighs any theoretical performance optimization for edge cases</w:t>
      </w:r>
    </w:p>
    <w:p>
      <w:pPr>
        <w:spacing w:after="400"/>
      </w:pPr>
      <w:r>
        <w:rPr>
          <w:b/>
          <w:bCs/>
        </w:rPr>
        <w:t xml:space="preserve">• </w:t>
      </w:r>
      <w:r>
        <w:rPr>
          <w:b/>
          <w:bCs/>
        </w:rPr>
        <w:t xml:space="preserve">Future workload growth: </w:t>
      </w:r>
      <w:r>
        <w:t xml:space="preserve">As calibration complexity increases, file sizes trend upward, further favoring S3-centric architecture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However, for systems with heterogeneous workloads where small payloads (&lt;2MB) constitute &gt;30% of request volume and latency requirements are stringent (&lt;200ms end-to-end), a hybrid architecture may warrant consideration. Implementation should be preceded by detailed workload profiling and cost modeling to validate the complexity/benefit trade-off.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2026-02-11T10:37:15.779Z</dcterms:created>
  <dcterms:modified xsi:type="dcterms:W3CDTF">2026-02-11T10:37:15.781Z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