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600"/>
              <w:bottom w:type="dxa" w:w="600"/>
              <w:right w:type="dxa" w:w="600"/>
            </w:tcMar>
          </w:tcPr>
          <w:p>
            <w:pPr>
              <w:jc w:val="left"/>
            </w:pPr>
            <w:r>
              <w:rPr>
                <w:rFonts w:ascii="Arial" w:cs="Arial" w:eastAsia="Arial" w:hAnsi="Arial"/>
                <w:b/>
                <w:bCs/>
                <w:color w:val="FFFFFF"/>
                <w:sz w:val="64"/>
                <w:szCs w:val="64"/>
              </w:rPr>
              <w:t xml:space="preserve">XENA LaaS</w:t>
            </w:r>
          </w:p>
          <w:p>
            <w:pPr>
              <w:spacing w:before="120"/>
            </w:pPr>
            <w:r>
              <w:rPr>
                <w:rFonts w:ascii="Arial" w:cs="Arial" w:eastAsia="Arial" w:hAnsi="Arial"/>
                <w:color w:val="BFDBFE"/>
                <w:sz w:val="26"/>
                <w:szCs w:val="26"/>
              </w:rPr>
              <w:t xml:space="preserve">Library Onboarding &amp; Client Integration Guide</w:t>
            </w:r>
          </w:p>
          <w:p>
            <w:pPr>
              <w:spacing w:before="240"/>
            </w:pPr>
            <w:r>
              <w:rPr>
                <w:rFonts w:ascii="Arial" w:cs="Arial" w:eastAsia="Arial" w:hAnsi="Arial"/>
                <w:color w:val="94A3B8"/>
                <w:sz w:val="19"/>
                <w:szCs w:val="19"/>
              </w:rPr>
              <w:t xml:space="preserve">Version 1.0  •  2026</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none"/>
              <w:right w:val="single" w:color="2563EB" w:sz="4"/>
            </w:tcBorders>
            <w:shd w:fill="DBEAFE" w:val="clear"/>
            <w:tcMar>
              <w:top w:type="dxa" w:w="120"/>
              <w:left w:type="dxa" w:w="240"/>
              <w:bottom w:type="dxa" w:w="30"/>
              <w:right w:type="dxa" w:w="240"/>
            </w:tcMar>
          </w:tcPr>
          <w:p>
            <w:r>
              <w:rPr>
                <w:rFonts w:ascii="Arial" w:cs="Arial" w:eastAsia="Arial" w:hAnsi="Arial"/>
                <w:color w:val="1B2A4A"/>
                <w:sz w:val="19"/>
                <w:szCs w:val="19"/>
              </w:rPr>
              <w:t xml:space="preserve">Key Characteristics</w:t>
            </w:r>
          </w:p>
        </w:tc>
      </w:tr>
      <w:tr>
        <w:tc>
          <w:tcPr>
            <w:tcW w:type="dxa" w:w="9360"/>
            <w:tcBorders>
              <w:top w:val="none"/>
              <w:left w:val="single" w:color="2563EB" w:sz="4"/>
              <w:bottom w:val="none"/>
              <w:right w:val="single" w:color="2563EB" w:sz="4"/>
            </w:tcBorders>
            <w:shd w:fill="DBEAFE" w:val="clear"/>
            <w:tcMar>
              <w:top w:type="dxa" w:w="30"/>
              <w:left w:type="dxa" w:w="240"/>
              <w:bottom w:type="dxa" w:w="30"/>
              <w:right w:type="dxa" w:w="240"/>
            </w:tcMar>
          </w:tcPr>
          <w:p>
            <w:r>
              <w:rPr>
                <w:rFonts w:ascii="Arial" w:cs="Arial" w:eastAsia="Arial" w:hAnsi="Arial"/>
                <w:color w:val="1B2A4A"/>
                <w:sz w:val="19"/>
                <w:szCs w:val="19"/>
              </w:rPr>
              <w:t xml:space="preserve">• No synchronous API — fully asynchronous, event-driven execution</w:t>
            </w:r>
          </w:p>
        </w:tc>
      </w:tr>
      <w:tr>
        <w:tc>
          <w:tcPr>
            <w:tcW w:type="dxa" w:w="9360"/>
            <w:tcBorders>
              <w:top w:val="none"/>
              <w:left w:val="single" w:color="2563EB" w:sz="4"/>
              <w:bottom w:val="none"/>
              <w:right w:val="single" w:color="2563EB" w:sz="4"/>
            </w:tcBorders>
            <w:shd w:fill="DBEAFE" w:val="clear"/>
            <w:tcMar>
              <w:top w:type="dxa" w:w="30"/>
              <w:left w:type="dxa" w:w="240"/>
              <w:bottom w:type="dxa" w:w="30"/>
              <w:right w:type="dxa" w:w="240"/>
            </w:tcMar>
          </w:tcPr>
          <w:p>
            <w:r>
              <w:rPr>
                <w:rFonts w:ascii="Arial" w:cs="Arial" w:eastAsia="Arial" w:hAnsi="Arial"/>
                <w:color w:val="1B2A4A"/>
                <w:sz w:val="19"/>
                <w:szCs w:val="19"/>
              </w:rPr>
              <w:t xml:space="preserve">• Deterministic input/output contract via S3 path</w:t>
            </w:r>
          </w:p>
        </w:tc>
      </w:tr>
      <w:tr>
        <w:tc>
          <w:tcPr>
            <w:tcW w:type="dxa" w:w="9360"/>
            <w:tcBorders>
              <w:top w:val="none"/>
              <w:left w:val="single" w:color="2563EB" w:sz="4"/>
              <w:bottom w:val="none"/>
              <w:right w:val="single" w:color="2563EB" w:sz="4"/>
            </w:tcBorders>
            <w:shd w:fill="DBEAFE" w:val="clear"/>
            <w:tcMar>
              <w:top w:type="dxa" w:w="30"/>
              <w:left w:type="dxa" w:w="240"/>
              <w:bottom w:type="dxa" w:w="30"/>
              <w:right w:type="dxa" w:w="240"/>
            </w:tcMar>
          </w:tcPr>
          <w:p>
            <w:r>
              <w:rPr>
                <w:rFonts w:ascii="Arial" w:cs="Arial" w:eastAsia="Arial" w:hAnsi="Arial"/>
                <w:color w:val="1B2A4A"/>
                <w:sz w:val="19"/>
                <w:szCs w:val="19"/>
              </w:rPr>
              <w:t xml:space="preserve">• Library-agnostic orchestration (GRID dispatch)</w:t>
            </w:r>
          </w:p>
        </w:tc>
      </w:tr>
      <w:tr>
        <w:tc>
          <w:tcPr>
            <w:tcW w:type="dxa" w:w="9360"/>
            <w:tcBorders>
              <w:top w:val="none"/>
              <w:left w:val="single" w:color="2563EB" w:sz="4"/>
              <w:bottom w:val="none"/>
              <w:right w:val="single" w:color="2563EB" w:sz="4"/>
            </w:tcBorders>
            <w:shd w:fill="DBEAFE" w:val="clear"/>
            <w:tcMar>
              <w:top w:type="dxa" w:w="30"/>
              <w:left w:type="dxa" w:w="240"/>
              <w:bottom w:type="dxa" w:w="30"/>
              <w:right w:type="dxa" w:w="240"/>
            </w:tcMar>
          </w:tcPr>
          <w:p>
            <w:r>
              <w:rPr>
                <w:rFonts w:ascii="Arial" w:cs="Arial" w:eastAsia="Arial" w:hAnsi="Arial"/>
                <w:color w:val="1B2A4A"/>
                <w:sz w:val="19"/>
                <w:szCs w:val="19"/>
              </w:rPr>
              <w:t xml:space="preserve">• Cross-account compatible via IAM AssumeRole</w:t>
            </w:r>
          </w:p>
        </w:tc>
      </w:tr>
      <w:tr>
        <w:tc>
          <w:tcPr>
            <w:tcW w:type="dxa" w:w="9360"/>
            <w:tcBorders>
              <w:top w:val="none"/>
              <w:left w:val="single" w:color="2563EB" w:sz="4"/>
              <w:bottom w:val="single" w:color="2563EB" w:sz="4"/>
              <w:right w:val="single" w:color="2563EB" w:sz="4"/>
            </w:tcBorders>
            <w:shd w:fill="DBEAFE" w:val="clear"/>
            <w:tcMar>
              <w:top w:type="dxa" w:w="30"/>
              <w:left w:type="dxa" w:w="240"/>
              <w:bottom w:type="dxa" w:w="120"/>
              <w:right w:type="dxa" w:w="240"/>
            </w:tcMar>
          </w:tcPr>
          <w:p>
            <w:r>
              <w:rPr>
                <w:rFonts w:ascii="Arial" w:cs="Arial" w:eastAsia="Arial" w:hAnsi="Arial"/>
                <w:color w:val="1B2A4A"/>
                <w:sz w:val="19"/>
                <w:szCs w:val="19"/>
              </w:rPr>
              <w:t xml:space="preserve">• Single self-contained Parquet artifact per job</w:t>
            </w:r>
          </w:p>
        </w:tc>
      </w:tr>
    </w:tbl>
    <w:p>
      <w:pPr>
        <w:spacing w:after="0" w:before="300"/>
      </w:pPr>
    </w:p>
    <w:p>
      <w:pPr>
        <w:pStyle w:val="Heading1"/>
        <w:pBdr>
          <w:bottom w:val="single" w:color="2563EB" w:sz="6" w:space="4"/>
        </w:pBdr>
        <w:spacing w:after="160" w:before="360"/>
      </w:pPr>
      <w:r>
        <w:rPr>
          <w:rFonts w:ascii="Arial" w:cs="Arial" w:eastAsia="Arial" w:hAnsi="Arial"/>
          <w:b/>
          <w:bCs/>
          <w:color w:val="1B2A4A"/>
          <w:sz w:val="36"/>
          <w:szCs w:val="36"/>
        </w:rPr>
        <w:t xml:space="preserve">1. Overview</w:t>
      </w:r>
    </w:p>
    <w:p>
      <w:pPr>
        <w:spacing w:after="100" w:before="80"/>
      </w:pPr>
      <w:r>
        <w:rPr>
          <w:rFonts w:ascii="Arial" w:cs="Arial" w:eastAsia="Arial" w:hAnsi="Arial"/>
          <w:color w:val="334155"/>
          <w:sz w:val="20"/>
          <w:szCs w:val="20"/>
        </w:rPr>
        <w:t xml:space="preserve">XENA LaaS provides a contract-driven, event-triggered execution model using a data-plane interface (S3) and a serverless control-plane (SQS + Lambda). It is designed for asynchronous, high-throughput library orchestration across AWS accounts without any synchronous API surface.</w:t>
      </w:r>
    </w:p>
    <w:p>
      <w:pPr>
        <w:spacing w:after="0" w:before="80"/>
      </w:pPr>
    </w:p>
    <w:p>
      <w:pPr>
        <w:spacing w:after="100" w:before="80"/>
      </w:pPr>
      <w:r>
        <w:rPr>
          <w:rFonts w:ascii="Arial" w:cs="Arial" w:eastAsia="Arial" w:hAnsi="Arial"/>
          <w:color w:val="334155"/>
          <w:sz w:val="20"/>
          <w:szCs w:val="20"/>
        </w:rPr>
        <w:t xml:space="preserve">This guide covers:</w:t>
      </w:r>
    </w:p>
    <w:p>
      <w:pPr>
        <w:pStyle w:val="ListParagraph"/>
        <w:numPr>
          <w:ilvl w:val="0"/>
          <w:numId w:val="2"/>
        </w:numPr>
        <w:spacing w:after="60" w:before="60"/>
      </w:pPr>
      <w:r>
        <w:rPr>
          <w:rFonts w:ascii="Arial" w:cs="Arial" w:eastAsia="Arial" w:hAnsi="Arial"/>
          <w:color w:val="334155"/>
          <w:sz w:val="20"/>
          <w:szCs w:val="20"/>
        </w:rPr>
        <w:t xml:space="preserve">How to prepare inputs (Parquet + metadata)</w:t>
      </w:r>
    </w:p>
    <w:p>
      <w:pPr>
        <w:pStyle w:val="ListParagraph"/>
        <w:numPr>
          <w:ilvl w:val="0"/>
          <w:numId w:val="2"/>
        </w:numPr>
        <w:spacing w:after="60" w:before="60"/>
      </w:pPr>
      <w:r>
        <w:rPr>
          <w:rFonts w:ascii="Arial" w:cs="Arial" w:eastAsia="Arial" w:hAnsi="Arial"/>
          <w:color w:val="334155"/>
          <w:sz w:val="20"/>
          <w:szCs w:val="20"/>
        </w:rPr>
        <w:t xml:space="preserve">How to securely deliver jobs to XENA</w:t>
      </w:r>
    </w:p>
    <w:p>
      <w:pPr>
        <w:pStyle w:val="ListParagraph"/>
        <w:numPr>
          <w:ilvl w:val="0"/>
          <w:numId w:val="2"/>
        </w:numPr>
        <w:spacing w:after="60" w:before="60"/>
      </w:pPr>
      <w:r>
        <w:rPr>
          <w:rFonts w:ascii="Arial" w:cs="Arial" w:eastAsia="Arial" w:hAnsi="Arial"/>
          <w:color w:val="334155"/>
          <w:sz w:val="20"/>
          <w:szCs w:val="20"/>
        </w:rPr>
        <w:t xml:space="preserve">How to consume outputs (polling or event-driven)</w:t>
      </w:r>
    </w:p>
    <w:p>
      <w:pPr>
        <w:pStyle w:val="ListParagraph"/>
        <w:numPr>
          <w:ilvl w:val="0"/>
          <w:numId w:val="2"/>
        </w:numPr>
        <w:spacing w:after="60" w:before="60"/>
      </w:pPr>
      <w:r>
        <w:rPr>
          <w:rFonts w:ascii="Arial" w:cs="Arial" w:eastAsia="Arial" w:hAnsi="Arial"/>
          <w:color w:val="334155"/>
          <w:sz w:val="20"/>
          <w:szCs w:val="20"/>
        </w:rPr>
        <w:t xml:space="preserve">How cross-account integration works end-to-end</w:t>
      </w:r>
    </w:p>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2. Parquet Input Structure</w:t>
      </w:r>
    </w:p>
    <w:p>
      <w:pPr>
        <w:pStyle w:val="Heading2"/>
        <w:spacing w:after="120" w:before="280"/>
      </w:pPr>
      <w:r>
        <w:rPr>
          <w:rFonts w:ascii="Arial" w:cs="Arial" w:eastAsia="Arial" w:hAnsi="Arial"/>
          <w:b/>
          <w:bCs/>
          <w:color w:val="2563EB"/>
          <w:sz w:val="26"/>
          <w:szCs w:val="26"/>
        </w:rPr>
        <w:t xml:space="preserve">2.1 Design Principle</w:t>
      </w:r>
    </w:p>
    <w:p>
      <w:pPr>
        <w:spacing w:after="100" w:before="80"/>
      </w:pPr>
      <w:r>
        <w:rPr>
          <w:rFonts w:ascii="Arial" w:cs="Arial" w:eastAsia="Arial" w:hAnsi="Arial"/>
          <w:color w:val="334155"/>
          <w:sz w:val="20"/>
          <w:szCs w:val="20"/>
        </w:rPr>
        <w:t xml:space="preserve">Each job is represented as a single, self-contained Parquet object. No secondary payload files are required or expected. This enforces:</w:t>
      </w:r>
    </w:p>
    <w:p>
      <w:pPr>
        <w:pStyle w:val="ListParagraph"/>
        <w:numPr>
          <w:ilvl w:val="0"/>
          <w:numId w:val="2"/>
        </w:numPr>
        <w:spacing w:after="60" w:before="60"/>
      </w:pPr>
      <w:r>
        <w:rPr>
          <w:rFonts w:ascii="Arial" w:cs="Arial" w:eastAsia="Arial" w:hAnsi="Arial"/>
          <w:color w:val="334155"/>
          <w:sz w:val="20"/>
          <w:szCs w:val="20"/>
        </w:rPr>
        <w:t xml:space="preserve">No event duplication</w:t>
      </w:r>
    </w:p>
    <w:p>
      <w:pPr>
        <w:pStyle w:val="ListParagraph"/>
        <w:numPr>
          <w:ilvl w:val="0"/>
          <w:numId w:val="2"/>
        </w:numPr>
        <w:spacing w:after="60" w:before="60"/>
      </w:pPr>
      <w:r>
        <w:rPr>
          <w:rFonts w:ascii="Arial" w:cs="Arial" w:eastAsia="Arial" w:hAnsi="Arial"/>
          <w:color w:val="334155"/>
          <w:sz w:val="20"/>
          <w:szCs w:val="20"/>
        </w:rPr>
        <w:t xml:space="preserve">No synchronization issues</w:t>
      </w:r>
    </w:p>
    <w:p>
      <w:pPr>
        <w:pStyle w:val="ListParagraph"/>
        <w:numPr>
          <w:ilvl w:val="0"/>
          <w:numId w:val="2"/>
        </w:numPr>
        <w:spacing w:after="60" w:before="60"/>
      </w:pPr>
      <w:r>
        <w:rPr>
          <w:rFonts w:ascii="Arial" w:cs="Arial" w:eastAsia="Arial" w:hAnsi="Arial"/>
          <w:color w:val="334155"/>
          <w:sz w:val="20"/>
          <w:szCs w:val="20"/>
        </w:rPr>
        <w:t xml:space="preserve">No contract fragmentation</w:t>
      </w:r>
    </w:p>
    <w:p>
      <w:pPr>
        <w:spacing w:after="0" w:before="80"/>
      </w:pPr>
    </w:p>
    <w:p>
      <w:pPr>
        <w:pStyle w:val="Heading2"/>
        <w:spacing w:after="120" w:before="280"/>
      </w:pPr>
      <w:r>
        <w:rPr>
          <w:rFonts w:ascii="Arial" w:cs="Arial" w:eastAsia="Arial" w:hAnsi="Arial"/>
          <w:b/>
          <w:bCs/>
          <w:color w:val="2563EB"/>
          <w:sz w:val="26"/>
          <w:szCs w:val="26"/>
        </w:rPr>
        <w:t xml:space="preserve">2.2 Logical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468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XENA Metadata</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Minimal, required fields validated by XENA</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Client Payload</w:t>
            </w:r>
          </w:p>
        </w:tc>
        <w:tc>
          <w:tcPr>
            <w:tcW w:type="dxa" w:w="46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Optional, opaque to XENA — interpreted only by GRID</w:t>
            </w:r>
          </w:p>
        </w:tc>
      </w:tr>
    </w:tbl>
    <w:p>
      <w:pPr>
        <w:spacing w:after="0" w:before="160"/>
      </w:pPr>
    </w:p>
    <w:p>
      <w:pPr>
        <w:pStyle w:val="Heading2"/>
        <w:spacing w:after="120" w:before="280"/>
      </w:pPr>
      <w:r>
        <w:rPr>
          <w:rFonts w:ascii="Arial" w:cs="Arial" w:eastAsia="Arial" w:hAnsi="Arial"/>
          <w:b/>
          <w:bCs/>
          <w:color w:val="2563EB"/>
          <w:sz w:val="26"/>
          <w:szCs w:val="26"/>
        </w:rPr>
        <w:t xml:space="preserve">2.3 Metadata Schema (XENA-Controlled)</w:t>
      </w:r>
    </w:p>
    <w:p>
      <w:pPr>
        <w:spacing w:after="100" w:before="80"/>
      </w:pPr>
      <w:r>
        <w:rPr>
          <w:rFonts w:ascii="Arial" w:cs="Arial" w:eastAsia="Arial" w:hAnsi="Arial"/>
          <w:color w:val="334155"/>
          <w:sz w:val="20"/>
          <w:szCs w:val="20"/>
        </w:rPr>
        <w:t xml:space="preserve">The following fields are the only ones validated by XENA at the metadata level. All business and functional context is derived from the S3 path contract. Version resolution is handled downstream by GRID.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"targetLibrary": "emir-lib",</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"targetVersion": "latest",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"targetFileName": "results.parquet"</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w:t>
            </w:r>
          </w:p>
        </w:tc>
      </w:tr>
    </w:tbl>
    <w:p>
      <w:pPr>
        <w:spacing w:after="0" w:before="160"/>
      </w:pPr>
    </w:p>
    <w:p>
      <w:pPr>
        <w:pStyle w:val="Heading2"/>
        <w:spacing w:after="120" w:before="280"/>
      </w:pPr>
      <w:r>
        <w:rPr>
          <w:rFonts w:ascii="Arial" w:cs="Arial" w:eastAsia="Arial" w:hAnsi="Arial"/>
          <w:b/>
          <w:bCs/>
          <w:color w:val="2563EB"/>
          <w:sz w:val="26"/>
          <w:szCs w:val="26"/>
        </w:rPr>
        <w:t xml:space="preserve">2.4 Client Payload (Library-Specific)</w:t>
      </w:r>
    </w:p>
    <w:p>
      <w:pPr>
        <w:spacing w:after="100" w:before="80"/>
      </w:pPr>
      <w:r>
        <w:rPr>
          <w:rFonts w:ascii="Arial" w:cs="Arial" w:eastAsia="Arial" w:hAnsi="Arial"/>
          <w:color w:val="334155"/>
          <w:sz w:val="20"/>
          <w:szCs w:val="20"/>
        </w:rPr>
        <w:t xml:space="preserve">The client payload is not validated by XENA. It is passed through opaquely and interpreted exclusively by GRID during library execution.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"clientPayload":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"inputFormat": "CSV",</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"delimiter":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"columns": ["id", "value"],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"parameters":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"threshold": 0.95</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w:t>
            </w:r>
          </w:p>
        </w:tc>
      </w:tr>
    </w:tbl>
    <w:p>
      <w:pPr>
        <w:spacing w:after="0" w:before="160"/>
      </w:pPr>
    </w:p>
    <w:p>
      <w:pPr>
        <w:pStyle w:val="Heading2"/>
        <w:spacing w:after="120" w:before="280"/>
      </w:pPr>
      <w:r>
        <w:rPr>
          <w:rFonts w:ascii="Arial" w:cs="Arial" w:eastAsia="Arial" w:hAnsi="Arial"/>
          <w:b/>
          <w:bCs/>
          <w:color w:val="2563EB"/>
          <w:sz w:val="26"/>
          <w:szCs w:val="26"/>
        </w:rPr>
        <w:t xml:space="preserve">2.5 Embedding Data in Parquet</w:t>
      </w:r>
    </w:p>
    <w:p>
      <w:pPr>
        <w:spacing w:after="100" w:before="80"/>
      </w:pPr>
      <w:r>
        <w:rPr>
          <w:rFonts w:ascii="Arial" w:cs="Arial" w:eastAsia="Arial" w:hAnsi="Arial"/>
          <w:color w:val="334155"/>
          <w:sz w:val="20"/>
          <w:szCs w:val="20"/>
        </w:rPr>
        <w:t xml:space="preserve">Three approaches are available for embedding data into the Parquet artifact:</w:t>
      </w:r>
    </w:p>
    <w:p>
      <w:pPr>
        <w:spacing w:after="0" w:before="80"/>
      </w:pPr>
    </w:p>
    <w:p>
      <w:pPr>
        <w:pStyle w:val="Heading3"/>
        <w:spacing w:after="80" w:before="200"/>
      </w:pPr>
      <w:r>
        <w:rPr>
          <w:rFonts w:ascii="Arial" w:cs="Arial" w:eastAsia="Arial" w:hAnsi="Arial"/>
          <w:b/>
          <w:bCs/>
          <w:color w:val="475569"/>
          <w:sz w:val="22"/>
          <w:szCs w:val="22"/>
        </w:rPr>
        <w:t xml:space="preserve">Approach 1 — Structured Columns</w:t>
      </w:r>
    </w:p>
    <w:p>
      <w:pPr>
        <w:spacing w:after="100" w:before="100"/>
        <w:ind w:left="360"/>
      </w:pPr>
      <w:r>
        <w:rPr>
          <w:rFonts w:ascii="Arial" w:cs="Arial" w:eastAsia="Arial" w:hAnsi="Arial"/>
          <w:b/>
          <w:bCs/>
          <w:color w:val="D97706"/>
          <w:sz w:val="18"/>
          <w:szCs w:val="18"/>
        </w:rPr>
        <w:t xml:space="preserve">Recommended for: </w:t>
      </w:r>
      <w:r>
        <w:rPr>
          <w:rFonts w:ascii="Arial" w:cs="Arial" w:eastAsia="Arial" w:hAnsi="Arial"/>
          <w:color w:val="475569"/>
          <w:sz w:val="18"/>
          <w:szCs w:val="18"/>
        </w:rPr>
        <w:t xml:space="preserve">flat tabular data from CSV sources.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import pandas as pd</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Read CSV and write to Parquet directly.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Pandas infers column types automatically.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df = pd.read_csv("input.csv")</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df.to_parquet("input.parquet", index=False)</w:t>
            </w:r>
          </w:p>
        </w:tc>
      </w:tr>
    </w:tbl>
    <w:p>
      <w:pPr>
        <w:spacing w:after="0" w:before="160"/>
      </w:pPr>
    </w:p>
    <w:p>
      <w:pPr>
        <w:pStyle w:val="Heading3"/>
        <w:spacing w:after="80" w:before="200"/>
      </w:pPr>
      <w:r>
        <w:rPr>
          <w:rFonts w:ascii="Arial" w:cs="Arial" w:eastAsia="Arial" w:hAnsi="Arial"/>
          <w:b/>
          <w:bCs/>
          <w:color w:val="475569"/>
          <w:sz w:val="22"/>
          <w:szCs w:val="22"/>
        </w:rPr>
        <w:t xml:space="preserve">Approach 2 — Binary Payload Column</w:t>
      </w:r>
    </w:p>
    <w:p>
      <w:pPr>
        <w:spacing w:after="100" w:before="100"/>
        <w:ind w:left="360"/>
      </w:pPr>
      <w:r>
        <w:rPr>
          <w:rFonts w:ascii="Arial" w:cs="Arial" w:eastAsia="Arial" w:hAnsi="Arial"/>
          <w:b/>
          <w:bCs/>
          <w:color w:val="D97706"/>
          <w:sz w:val="18"/>
          <w:szCs w:val="18"/>
        </w:rPr>
        <w:t xml:space="preserve">Use when: </w:t>
      </w:r>
      <w:r>
        <w:rPr>
          <w:rFonts w:ascii="Arial" w:cs="Arial" w:eastAsia="Arial" w:hAnsi="Arial"/>
          <w:color w:val="475569"/>
          <w:sz w:val="18"/>
          <w:szCs w:val="18"/>
        </w:rPr>
        <w:t xml:space="preserve">the payload is a single opaque JSON blob.</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import json</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pyarrow as pa</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pyarrow.parquet as pq</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payload =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"inputFormat": "CSV",</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"delimiter":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"columns": ["id", "value"],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"parameters": {"threshold": 0.95},</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table = pa.table({"payload": [json.dumps(payload)]})</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pq.write_table(table, "input.parquet")</w:t>
            </w:r>
          </w:p>
        </w:tc>
      </w:tr>
    </w:tbl>
    <w:p>
      <w:pPr>
        <w:spacing w:after="0" w:before="160"/>
      </w:pPr>
    </w:p>
    <w:p>
      <w:pPr>
        <w:pStyle w:val="Heading3"/>
        <w:spacing w:after="80" w:before="200"/>
      </w:pPr>
      <w:r>
        <w:rPr>
          <w:rFonts w:ascii="Arial" w:cs="Arial" w:eastAsia="Arial" w:hAnsi="Arial"/>
          <w:b/>
          <w:bCs/>
          <w:color w:val="475569"/>
          <w:sz w:val="22"/>
          <w:szCs w:val="22"/>
        </w:rPr>
        <w:t xml:space="preserve">Approach 3 — Hybrid (Recommended)</w:t>
      </w:r>
    </w:p>
    <w:p>
      <w:pPr>
        <w:spacing w:after="100" w:before="100"/>
        <w:ind w:left="360"/>
      </w:pPr>
      <w:r>
        <w:rPr>
          <w:rFonts w:ascii="Arial" w:cs="Arial" w:eastAsia="Arial" w:hAnsi="Arial"/>
          <w:b/>
          <w:bCs/>
          <w:color w:val="D97706"/>
          <w:sz w:val="18"/>
          <w:szCs w:val="18"/>
        </w:rPr>
        <w:t xml:space="preserve">Best practice: </w:t>
      </w:r>
      <w:r>
        <w:rPr>
          <w:rFonts w:ascii="Arial" w:cs="Arial" w:eastAsia="Arial" w:hAnsi="Arial"/>
          <w:color w:val="475569"/>
          <w:sz w:val="18"/>
          <w:szCs w:val="18"/>
        </w:rPr>
        <w:t xml:space="preserve">structured columns for data, metadata + clientPayload for configuration.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import json</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pandas as pd</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pyarrow as pa</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pyarrow.parquet as pq</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XENA_METADATA =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"targetLibrary": "emir-lib",</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"targetVersion": "latest",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"targetFileName": "results.parquet",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CLIENT_PAYLOAD =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"inputFormat": "CSV",</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"delimiter":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"columns": ["id", "value"],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"parameters": {"threshold": 0.95},</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Build data table from CSV</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df = pd.read_csv("input.csv")</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data_table = pa.Table.from_pandas(df, preserve_index=False)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Attach metadata as Parquet custom key-value pairs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merged_meta =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b"xena_metadata":   json.dumps(XENA_METADATA).encode(),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b"client_payload":  json.dumps(CLIENT_PAYLOAD).encode(),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data_table = data_table.replace_schema_metadata(merged_meta)</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pq.write_table(data_table, "input.parquet")</w:t>
            </w:r>
          </w:p>
        </w:tc>
      </w:tr>
    </w:tbl>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3. S3 Contract &amp; Input Delivery</w:t>
      </w:r>
    </w:p>
    <w:p>
      <w:pPr>
        <w:pStyle w:val="Heading2"/>
        <w:spacing w:after="120" w:before="280"/>
      </w:pPr>
      <w:r>
        <w:rPr>
          <w:rFonts w:ascii="Arial" w:cs="Arial" w:eastAsia="Arial" w:hAnsi="Arial"/>
          <w:b/>
          <w:bCs/>
          <w:color w:val="2563EB"/>
          <w:sz w:val="26"/>
          <w:szCs w:val="26"/>
        </w:rPr>
        <w:t xml:space="preserve">3.1 Input Path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120"/>
              <w:right w:type="dxa" w:w="240"/>
            </w:tcMar>
          </w:tcPr>
          <w:p>
            <w:r>
              <w:rPr>
                <w:rFonts w:ascii="Courier New" w:cs="Courier New" w:eastAsia="Courier New" w:hAnsi="Courier New"/>
                <w:color w:val="E2E8F0"/>
                <w:sz w:val="17"/>
                <w:szCs w:val="17"/>
              </w:rPr>
              <w:t xml:space="preserve">s3://xena-data-lake-input-{env}/{jobType}/{country}/{purpose}/{date}/{subpurpose}/{iteration}/</w:t>
            </w:r>
          </w:p>
        </w:tc>
      </w:tr>
    </w:tbl>
    <w:p>
      <w:pPr>
        <w:spacing w:after="0" w:before="160"/>
      </w:pPr>
    </w:p>
    <w:p>
      <w:pPr>
        <w:pStyle w:val="Heading2"/>
        <w:spacing w:after="120" w:before="280"/>
      </w:pPr>
      <w:r>
        <w:rPr>
          <w:rFonts w:ascii="Arial" w:cs="Arial" w:eastAsia="Arial" w:hAnsi="Arial"/>
          <w:b/>
          <w:bCs/>
          <w:color w:val="2563EB"/>
          <w:sz w:val="26"/>
          <w:szCs w:val="26"/>
        </w:rPr>
        <w:t xml:space="preserve">3.2 Contract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Field</w:t>
            </w:r>
          </w:p>
        </w:tc>
        <w:tc>
          <w:tcPr>
            <w:tcW w:type="dxa" w:w="624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jobType</w:t>
            </w:r>
          </w:p>
        </w:tc>
        <w:tc>
          <w:tcPr>
            <w:tcW w:type="dxa" w:w="624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Logical workload identifier (e.g., emir, pulse)</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country</w:t>
            </w:r>
          </w:p>
        </w:tc>
        <w:tc>
          <w:tcPr>
            <w:tcW w:type="dxa" w:w="624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Business segmentation code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purpose</w:t>
            </w:r>
          </w:p>
        </w:tc>
        <w:tc>
          <w:tcPr>
            <w:tcW w:type="dxa" w:w="624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Execution intent (e.g., REG_REPORTING, DAILY_BATCH)</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date</w:t>
            </w:r>
          </w:p>
        </w:tc>
        <w:tc>
          <w:tcPr>
            <w:tcW w:type="dxa" w:w="624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Execution date (YYYYMMDD format)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subpurpose</w:t>
            </w:r>
          </w:p>
        </w:tc>
        <w:tc>
          <w:tcPr>
            <w:tcW w:type="dxa" w:w="624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Sub-classification (e.g., intraday, testing)</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iteration</w:t>
            </w:r>
          </w:p>
        </w:tc>
        <w:tc>
          <w:tcPr>
            <w:tcW w:type="dxa" w:w="624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Versioning / retry dimension (integer)</w:t>
            </w:r>
          </w:p>
        </w:tc>
      </w:tr>
    </w:tbl>
    <w:p>
      <w:pPr>
        <w:spacing w:after="0" w:before="160"/>
      </w:pPr>
    </w:p>
    <w:p>
      <w:pPr>
        <w:pStyle w:val="Heading2"/>
        <w:spacing w:after="120" w:before="280"/>
      </w:pPr>
      <w:r>
        <w:rPr>
          <w:rFonts w:ascii="Arial" w:cs="Arial" w:eastAsia="Arial" w:hAnsi="Arial"/>
          <w:b/>
          <w:bCs/>
          <w:color w:val="2563EB"/>
          <w:sz w:val="26"/>
          <w:szCs w:val="26"/>
        </w:rPr>
        <w:t xml:space="preserve">3.3 Path Examples</w:t>
      </w:r>
    </w:p>
    <w:p>
      <w:pPr>
        <w:pStyle w:val="Heading3"/>
        <w:spacing w:after="80" w:before="200"/>
      </w:pPr>
      <w:r>
        <w:rPr>
          <w:rFonts w:ascii="Arial" w:cs="Arial" w:eastAsia="Arial" w:hAnsi="Arial"/>
          <w:b/>
          <w:bCs/>
          <w:color w:val="475569"/>
          <w:sz w:val="22"/>
          <w:szCs w:val="22"/>
        </w:rPr>
        <w:t xml:space="preserve">EMIR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120"/>
              <w:right w:type="dxa" w:w="240"/>
            </w:tcMar>
          </w:tcPr>
          <w:p>
            <w:r>
              <w:rPr>
                <w:rFonts w:ascii="Courier New" w:cs="Courier New" w:eastAsia="Courier New" w:hAnsi="Courier New"/>
                <w:color w:val="E2E8F0"/>
                <w:sz w:val="17"/>
                <w:szCs w:val="17"/>
              </w:rPr>
              <w:t xml:space="preserve">s3://xena-data-lake-input-pro/emir/ES/REG_REPORTING/20260424/intraday/1/input.parquet</w:t>
            </w:r>
          </w:p>
        </w:tc>
      </w:tr>
    </w:tbl>
    <w:p>
      <w:pPr>
        <w:spacing w:after="0" w:before="100"/>
      </w:pPr>
    </w:p>
    <w:p>
      <w:pPr>
        <w:pStyle w:val="Heading3"/>
        <w:spacing w:after="80" w:before="200"/>
      </w:pPr>
      <w:r>
        <w:rPr>
          <w:rFonts w:ascii="Arial" w:cs="Arial" w:eastAsia="Arial" w:hAnsi="Arial"/>
          <w:b/>
          <w:bCs/>
          <w:color w:val="475569"/>
          <w:sz w:val="22"/>
          <w:szCs w:val="22"/>
        </w:rPr>
        <w:t xml:space="preserve">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120"/>
              <w:right w:type="dxa" w:w="240"/>
            </w:tcMar>
          </w:tcPr>
          <w:p>
            <w:r>
              <w:rPr>
                <w:rFonts w:ascii="Courier New" w:cs="Courier New" w:eastAsia="Courier New" w:hAnsi="Courier New"/>
                <w:color w:val="E2E8F0"/>
                <w:sz w:val="17"/>
                <w:szCs w:val="17"/>
              </w:rPr>
              <w:t xml:space="preserve">s3://xena-data-lake-input-pro/pulse/ES/DAILY_BATCH/20260424/testing/1/input.parquet</w:t>
            </w:r>
          </w:p>
        </w:tc>
      </w:tr>
    </w:tbl>
    <w:p>
      <w:pPr>
        <w:spacing w:after="0" w:before="160"/>
      </w:pPr>
    </w:p>
    <w:p>
      <w:pPr>
        <w:pStyle w:val="Heading2"/>
        <w:spacing w:after="120" w:before="280"/>
      </w:pPr>
      <w:r>
        <w:rPr>
          <w:rFonts w:ascii="Arial" w:cs="Arial" w:eastAsia="Arial" w:hAnsi="Arial"/>
          <w:b/>
          <w:bCs/>
          <w:color w:val="2563EB"/>
          <w:sz w:val="26"/>
          <w:szCs w:val="26"/>
        </w:rPr>
        <w:t xml:space="preserve">3.4 Output &amp; Error Buckets</w:t>
      </w:r>
    </w:p>
    <w:p>
      <w:pPr>
        <w:spacing w:after="100" w:before="80"/>
      </w:pPr>
      <w:r>
        <w:rPr>
          <w:rFonts w:ascii="Arial" w:cs="Arial" w:eastAsia="Arial" w:hAnsi="Arial"/>
          <w:color w:val="334155"/>
          <w:sz w:val="20"/>
          <w:szCs w:val="20"/>
        </w:rPr>
        <w:t xml:space="preserve">The same path contract is preserved across input, output, and error buckets, enabling deterministic tracing and DAG chaining: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 Output bucket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s3://xena-data-lake-output-{env}/{jobType}/{country}/{purpose}/{date}/{subpurpose}/{iteration}/</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Error bucket</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s3://xena-data-lake-errors-{env}/{jobType}/{country}/{purpose}/{date}/{subpurpose}/{iteration}/</w:t>
            </w:r>
          </w:p>
        </w:tc>
      </w:tr>
    </w:tbl>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4. Security &amp; Cross-Account Access</w:t>
      </w:r>
    </w:p>
    <w:p>
      <w:pPr>
        <w:pStyle w:val="Heading2"/>
        <w:spacing w:after="120" w:before="280"/>
      </w:pPr>
      <w:r>
        <w:rPr>
          <w:rFonts w:ascii="Arial" w:cs="Arial" w:eastAsia="Arial" w:hAnsi="Arial"/>
          <w:b/>
          <w:bCs/>
          <w:color w:val="2563EB"/>
          <w:sz w:val="26"/>
          <w:szCs w:val="26"/>
        </w:rPr>
        <w:t xml:space="preserve">4.1 Client → XENA (Write Access)</w:t>
      </w:r>
    </w:p>
    <w:p>
      <w:pPr>
        <w:spacing w:after="100" w:before="80"/>
      </w:pPr>
      <w:r>
        <w:rPr>
          <w:rFonts w:ascii="Arial" w:cs="Arial" w:eastAsia="Arial" w:hAnsi="Arial"/>
          <w:color w:val="334155"/>
          <w:sz w:val="20"/>
          <w:szCs w:val="20"/>
        </w:rPr>
        <w:t xml:space="preserve">Grant the client IAM principal scoped write access to the input bucket using a path-restricted policy: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"Version": "2012-10-17",</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"Statement":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"Effect": "Allow",</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"Action": "s3:PutObject",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"Resource": "arn:aws:s3:::xena-data-lake-input-pro/emir/*"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w:t>
            </w:r>
          </w:p>
        </w:tc>
      </w:tr>
    </w:tbl>
    <w:p>
      <w:pPr>
        <w:spacing w:after="0" w:before="160"/>
      </w:pPr>
    </w:p>
    <w:p>
      <w:pPr>
        <w:pStyle w:val="Heading2"/>
        <w:spacing w:after="120" w:before="280"/>
      </w:pPr>
      <w:r>
        <w:rPr>
          <w:rFonts w:ascii="Arial" w:cs="Arial" w:eastAsia="Arial" w:hAnsi="Arial"/>
          <w:b/>
          <w:bCs/>
          <w:color w:val="2563EB"/>
          <w:sz w:val="26"/>
          <w:szCs w:val="26"/>
        </w:rPr>
        <w:t xml:space="preserve">4.2 Role-Based Access (Recommended)</w:t>
      </w:r>
    </w:p>
    <w:p>
      <w:pPr>
        <w:spacing w:after="100" w:before="80"/>
      </w:pPr>
      <w:r>
        <w:rPr>
          <w:rFonts w:ascii="Arial" w:cs="Arial" w:eastAsia="Arial" w:hAnsi="Arial"/>
          <w:color w:val="334155"/>
          <w:sz w:val="20"/>
          <w:szCs w:val="20"/>
        </w:rPr>
        <w:t xml:space="preserve">Use IAM cross-account role assumption. The client account creates a role that trusts the XENA account ID, and XENA assumes it when reading output or sending notifications.</w:t>
      </w:r>
    </w:p>
    <w:p>
      <w:pPr>
        <w:spacing w:after="0" w:before="80"/>
      </w:pPr>
    </w:p>
    <w:p>
      <w:pPr>
        <w:pStyle w:val="Heading3"/>
        <w:spacing w:after="80" w:before="200"/>
      </w:pPr>
      <w:r>
        <w:rPr>
          <w:rFonts w:ascii="Arial" w:cs="Arial" w:eastAsia="Arial" w:hAnsi="Arial"/>
          <w:b/>
          <w:bCs/>
          <w:color w:val="475569"/>
          <w:sz w:val="22"/>
          <w:szCs w:val="22"/>
        </w:rPr>
        <w:t xml:space="preserve">Trust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"Version": "2012-10-17",</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"Statement":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"Effect": "Allow",</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"Principal":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"AWS": "&lt;XENA_ACCOUNT_ID&gt;"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"Action": "sts:AssumeRole"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w:t>
            </w:r>
          </w:p>
        </w:tc>
      </w:tr>
    </w:tbl>
    <w:p>
      <w:pPr>
        <w:spacing w:after="0" w:before="160"/>
      </w:pPr>
    </w:p>
    <w:p>
      <w:pPr>
        <w:pStyle w:val="Heading2"/>
        <w:spacing w:after="120" w:before="280"/>
      </w:pPr>
      <w:r>
        <w:rPr>
          <w:rFonts w:ascii="Arial" w:cs="Arial" w:eastAsia="Arial" w:hAnsi="Arial"/>
          <w:b/>
          <w:bCs/>
          <w:color w:val="2563EB"/>
          <w:sz w:val="26"/>
          <w:szCs w:val="26"/>
        </w:rPr>
        <w:t xml:space="preserve">4.3 XENA → Client (Event Notifications)</w:t>
      </w:r>
    </w:p>
    <w:p>
      <w:pPr>
        <w:spacing w:after="100" w:before="80"/>
      </w:pPr>
      <w:r>
        <w:rPr>
          <w:rFonts w:ascii="Arial" w:cs="Arial" w:eastAsia="Arial" w:hAnsi="Arial"/>
          <w:color w:val="334155"/>
          <w:sz w:val="20"/>
          <w:szCs w:val="20"/>
        </w:rPr>
        <w:t xml:space="preserve">To receive event-driven notifications, the client must provision:</w:t>
      </w:r>
    </w:p>
    <w:p>
      <w:pPr>
        <w:pStyle w:val="ListParagraph"/>
        <w:numPr>
          <w:ilvl w:val="0"/>
          <w:numId w:val="2"/>
        </w:numPr>
        <w:spacing w:after="60" w:before="60"/>
      </w:pPr>
      <w:r>
        <w:rPr>
          <w:rFonts w:ascii="Arial" w:cs="Arial" w:eastAsia="Arial" w:hAnsi="Arial"/>
          <w:color w:val="334155"/>
          <w:sz w:val="20"/>
          <w:szCs w:val="20"/>
        </w:rPr>
        <w:t xml:space="preserve">An SQS queue in the client AWS account</w:t>
      </w:r>
    </w:p>
    <w:p>
      <w:pPr>
        <w:pStyle w:val="ListParagraph"/>
        <w:numPr>
          <w:ilvl w:val="0"/>
          <w:numId w:val="2"/>
        </w:numPr>
        <w:spacing w:after="60" w:before="60"/>
      </w:pPr>
      <w:r>
        <w:rPr>
          <w:rFonts w:ascii="Arial" w:cs="Arial" w:eastAsia="Arial" w:hAnsi="Arial"/>
          <w:color w:val="334155"/>
          <w:sz w:val="20"/>
          <w:szCs w:val="20"/>
        </w:rPr>
        <w:t xml:space="preserve">An IAM Role granting XENA sts:AssumeRole</w:t>
      </w:r>
    </w:p>
    <w:p>
      <w:pPr>
        <w:pStyle w:val="ListParagraph"/>
        <w:numPr>
          <w:ilvl w:val="0"/>
          <w:numId w:val="2"/>
        </w:numPr>
        <w:spacing w:after="60" w:before="60"/>
      </w:pPr>
      <w:r>
        <w:rPr>
          <w:rFonts w:ascii="Arial" w:cs="Arial" w:eastAsia="Arial" w:hAnsi="Arial"/>
          <w:color w:val="334155"/>
          <w:sz w:val="20"/>
          <w:szCs w:val="20"/>
        </w:rPr>
        <w:t xml:space="preserve">A queue policy allowing sqs:SendMessage from XENA's role ARN</w:t>
      </w:r>
    </w:p>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5. Output Consumption</w:t>
      </w:r>
    </w:p>
    <w:p>
      <w:pPr>
        <w:pStyle w:val="Heading2"/>
        <w:spacing w:after="120" w:before="280"/>
      </w:pPr>
      <w:r>
        <w:rPr>
          <w:rFonts w:ascii="Arial" w:cs="Arial" w:eastAsia="Arial" w:hAnsi="Arial"/>
          <w:b/>
          <w:bCs/>
          <w:color w:val="2563EB"/>
          <w:sz w:val="26"/>
          <w:szCs w:val="26"/>
        </w:rPr>
        <w:t xml:space="preserve">5.1 Polling Model (Default)</w:t>
      </w:r>
    </w:p>
    <w:p>
      <w:pPr>
        <w:spacing w:after="100" w:before="80"/>
      </w:pPr>
      <w:r>
        <w:rPr>
          <w:rFonts w:ascii="Arial" w:cs="Arial" w:eastAsia="Arial" w:hAnsi="Arial"/>
          <w:color w:val="334155"/>
          <w:sz w:val="20"/>
          <w:szCs w:val="20"/>
        </w:rPr>
        <w:t xml:space="preserve">The client writes the input, then periodically polls the output bucket until the result Parquet file appears. This model requires no additional infrastructure but adds latency.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import time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logging</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boto3</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from botocore.exceptions import ClientError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log = logging.getLogger(__name__)</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def poll_for_output(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bucket: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key: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interval_seconds: int = 10,</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max_attempts: int = 60,</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region: str = "eu-west-1",</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-&gt; dict: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Poll the XENA output bucket until the result object appears.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Args: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bucket:          S3 output bucket name.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key:             Full S3 object key (contract path + targetFileName).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interval_seconds: Seconds to wait between attempts.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max_attempts:    Maximum number of polling attempts.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region:          AWS region of the bucket.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Returns: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S3 HeadObject response dict.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Raises: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TimeoutError: If the object is not found within max_attempts.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s3 = boto3.client("s3", region_name=region)</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for attempt in range(1, max_attempts + 1):</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try: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response = s3.head_object(Bucket=bucket, Key=key)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log.info("Output available after %d attempt(s): s3://%s/%s",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attempt, bucket, key)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return response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except ClientError as exc:</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error_code = exc.response["Error"]["Code"]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if error_code == "404":</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log.debug("Attempt %d/%d — object not yet available.",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attempt, max_attempts)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else: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 Unexpected AWS error — surface immediately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raise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time.sleep(interval_seconds)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raise TimeoutError(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f"Output not found after {max_attempts} attempts: s3://{bucket}/{key}"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Example usage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if __name__ == "__main__":</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logging.basicConfig(level=logging.INFO)</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BUCKET = "xena-data-lake-output-pro"</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KEY    = "emir/ES/REG_REPORTING/20260424/intraday/1/results.parquet"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head = poll_for_output(BUCKET, KEY)</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    print(f"File size: {head['ContentLength']} bytes")</w:t>
            </w:r>
          </w:p>
        </w:tc>
      </w:tr>
    </w:tbl>
    <w:p>
      <w:pPr>
        <w:spacing w:after="0" w:before="160"/>
      </w:pPr>
    </w:p>
    <w:p>
      <w:pPr>
        <w:pStyle w:val="Heading2"/>
        <w:spacing w:after="120" w:before="280"/>
      </w:pPr>
      <w:r>
        <w:rPr>
          <w:rFonts w:ascii="Arial" w:cs="Arial" w:eastAsia="Arial" w:hAnsi="Arial"/>
          <w:b/>
          <w:bCs/>
          <w:color w:val="2563EB"/>
          <w:sz w:val="26"/>
          <w:szCs w:val="26"/>
        </w:rPr>
        <w:t xml:space="preserve">5.2 Event-Driven Model (Recommended)</w:t>
      </w:r>
    </w:p>
    <w:p>
      <w:pPr>
        <w:spacing w:after="100" w:before="80"/>
      </w:pPr>
      <w:r>
        <w:rPr>
          <w:rFonts w:ascii="Arial" w:cs="Arial" w:eastAsia="Arial" w:hAnsi="Arial"/>
          <w:color w:val="334155"/>
          <w:sz w:val="20"/>
          <w:szCs w:val="20"/>
        </w:rPr>
        <w:t xml:space="preserve">XENA's OutputHandler publishes a completion message to a client-owned SQS queue. This eliminates polling overhead and enables real-time downstream processing.</w:t>
      </w:r>
    </w:p>
    <w:p>
      <w:pPr>
        <w:spacing w:after="0" w:before="80"/>
      </w:pPr>
    </w:p>
    <w:p>
      <w:pPr>
        <w:pStyle w:val="Heading3"/>
        <w:spacing w:after="80" w:before="200"/>
      </w:pPr>
      <w:r>
        <w:rPr>
          <w:rFonts w:ascii="Arial" w:cs="Arial" w:eastAsia="Arial" w:hAnsi="Arial"/>
          <w:b/>
          <w:bCs/>
          <w:color w:val="475569"/>
          <w:sz w:val="22"/>
          <w:szCs w:val="22"/>
        </w:rPr>
        <w:t xml:space="preserve">Client Requirements</w:t>
      </w:r>
    </w:p>
    <w:p>
      <w:pPr>
        <w:pStyle w:val="ListParagraph"/>
        <w:numPr>
          <w:ilvl w:val="0"/>
          <w:numId w:val="2"/>
        </w:numPr>
        <w:spacing w:after="60" w:before="60"/>
      </w:pPr>
      <w:r>
        <w:rPr>
          <w:rFonts w:ascii="Arial" w:cs="Arial" w:eastAsia="Arial" w:hAnsi="Arial"/>
          <w:color w:val="334155"/>
          <w:sz w:val="20"/>
          <w:szCs w:val="20"/>
        </w:rPr>
        <w:t xml:space="preserve">Create an SQS queue in the client account</w:t>
      </w:r>
    </w:p>
    <w:p>
      <w:pPr>
        <w:pStyle w:val="ListParagraph"/>
        <w:numPr>
          <w:ilvl w:val="0"/>
          <w:numId w:val="2"/>
        </w:numPr>
        <w:spacing w:after="60" w:before="60"/>
      </w:pPr>
      <w:r>
        <w:rPr>
          <w:rFonts w:ascii="Arial" w:cs="Arial" w:eastAsia="Arial" w:hAnsi="Arial"/>
          <w:color w:val="334155"/>
          <w:sz w:val="20"/>
          <w:szCs w:val="20"/>
        </w:rPr>
        <w:t xml:space="preserve">Create an IAM Role granting sts:AssumeRole to the XENA account</w:t>
      </w:r>
    </w:p>
    <w:p>
      <w:pPr>
        <w:pStyle w:val="ListParagraph"/>
        <w:numPr>
          <w:ilvl w:val="0"/>
          <w:numId w:val="2"/>
        </w:numPr>
        <w:spacing w:after="60" w:before="60"/>
      </w:pPr>
      <w:r>
        <w:rPr>
          <w:rFonts w:ascii="Arial" w:cs="Arial" w:eastAsia="Arial" w:hAnsi="Arial"/>
          <w:color w:val="334155"/>
          <w:sz w:val="20"/>
          <w:szCs w:val="20"/>
        </w:rPr>
        <w:t xml:space="preserve">Attach a queue resource policy granting sqs:SendMessage to XENA's assumed role ARN</w:t>
      </w:r>
    </w:p>
    <w:p>
      <w:pPr>
        <w:spacing w:after="0" w:before="80"/>
      </w:pPr>
    </w:p>
    <w:p>
      <w:pPr>
        <w:pStyle w:val="Heading3"/>
        <w:spacing w:after="80" w:before="200"/>
      </w:pPr>
      <w:r>
        <w:rPr>
          <w:rFonts w:ascii="Arial" w:cs="Arial" w:eastAsia="Arial" w:hAnsi="Arial"/>
          <w:b/>
          <w:bCs/>
          <w:color w:val="475569"/>
          <w:sz w:val="22"/>
          <w:szCs w:val="22"/>
        </w:rPr>
        <w:t xml:space="preserve">Queue Resource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"Version": "2012-10-17",</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"Statement":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"Effect": "Allow",</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"Principal":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"AWS": "&lt;XENA_ASSUMED_ROLE_ARN&gt;"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"Action": "sqs:SendMessage",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"Resource": "&lt;CLIENT_QUEUE_ARN&gt;"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w:t>
            </w:r>
          </w:p>
        </w:tc>
      </w:tr>
    </w:tbl>
    <w:p>
      <w:pPr>
        <w:spacing w:after="0" w:before="160"/>
      </w:pPr>
    </w:p>
    <w:p>
      <w:pPr>
        <w:pStyle w:val="Heading2"/>
        <w:spacing w:after="120" w:before="280"/>
      </w:pPr>
      <w:r>
        <w:rPr>
          <w:rFonts w:ascii="Arial" w:cs="Arial" w:eastAsia="Arial" w:hAnsi="Arial"/>
          <w:b/>
          <w:bCs/>
          <w:color w:val="2563EB"/>
          <w:sz w:val="26"/>
          <w:szCs w:val="26"/>
        </w:rPr>
        <w:t xml:space="preserve">5.3 SQS Message Payload</w:t>
      </w:r>
    </w:p>
    <w:p>
      <w:pPr>
        <w:spacing w:after="100" w:before="80"/>
      </w:pPr>
      <w:r>
        <w:rPr>
          <w:rFonts w:ascii="Arial" w:cs="Arial" w:eastAsia="Arial" w:hAnsi="Arial"/>
          <w:color w:val="334155"/>
          <w:sz w:val="20"/>
          <w:szCs w:val="20"/>
        </w:rPr>
        <w:t xml:space="preserve">XENA publishes the following JSON structure upon job completion or failure: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"jobId":          "&lt;uuid&gt;",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"status":         "COMPLETED",   // COMPLETED | FAILED</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"outputPath":     "s3://xena-data-lake-output-pro/emir/ES/...",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"errorPath":      null,           // Non-null on FAILED</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"targetFileName": "results.parquet"</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w:t>
            </w:r>
          </w:p>
        </w:tc>
      </w:tr>
    </w:tbl>
    <w:p>
      <w:pPr>
        <w:spacing w:after="0" w:before="160"/>
      </w:pPr>
    </w:p>
    <w:p>
      <w:pPr>
        <w:pStyle w:val="Heading2"/>
        <w:spacing w:after="120" w:before="280"/>
      </w:pPr>
      <w:r>
        <w:rPr>
          <w:rFonts w:ascii="Arial" w:cs="Arial" w:eastAsia="Arial" w:hAnsi="Arial"/>
          <w:b/>
          <w:bCs/>
          <w:color w:val="2563EB"/>
          <w:sz w:val="26"/>
          <w:szCs w:val="26"/>
        </w:rPr>
        <w:t xml:space="preserve">5.4 Event-Driven Consumer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import json</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logging</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boto3</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log = logging.getLogger(__name__)</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def consume_xena_events(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queue_url: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region: str = "eu-west-1",</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wait_seconds: int = 20,</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-&gt; None: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Long-poll a client SQS queue for XENA completion events.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Args: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queue_url:     SQS queue URL in the client account.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region:        AWS region of the queue.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wait_seconds:  SQS long-polling duration (max 20).</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sqs = boto3.client("sqs", region_name=region)</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log.info("Listening for XENA events on: %s", queue_url)</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while True: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response = sqs.receive_message(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QueueUrl=queue_url,</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MaxNumberOfMessages=10,</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WaitTimeSeconds=wait_seconds,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for msg in response.get("Messages",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_handle_message(sqs, queue_url, msg)</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def _handle_message(sqs, queue_url: str, msg: dict) -&gt; None: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"""Parse and process a single XENA event message."""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try: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event = json.loads(msg["Body"])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job_id = event["jobId"]</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status = event["status"]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if status == "COMPLETED":</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output_path = event["outputPath"]</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log.info("[%s] COMPLETED — output: %s", job_id, output_path)</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_download_result(output_path)</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elif status == "FAILED":</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error_path = event.get("errorPath")</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log.error("[%s] FAILED — errors: %s", job_id, error_path)</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else: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log.warning("[%s] Unknown status: %s", job_id, status)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except (KeyError, json.JSONDecodeError) as exc:</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log.exception("Malformed XENA event: %s", exc)</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finally: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 Always delete the message to avoid reprocessing</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sqs.delete_message(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QueueUrl=queue_url,</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ReceiptHandle=msg["ReceiptHandle"],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def _download_result(s3_uri: str) -&gt; None: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"""Download and process the output Parquet file."""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bucket, _, key = s3_uri.removeprefix("s3://").partition("/")</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s3 = boto3.client("s3")</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obj = s3.get_object(Bucket=bucket, Key=key)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 TODO: process obj["Body"].read() or stream into pandas / pyarrow</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log.info("Downloaded %s bytes from s3://%s/%s",</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             obj["ContentLength"], bucket, key)</w:t>
            </w:r>
          </w:p>
        </w:tc>
      </w:tr>
    </w:tbl>
    <w:p>
      <w:pPr>
        <w:spacing w:after="0" w:before="160"/>
      </w:pPr>
    </w:p>
    <w:p>
      <w:pPr>
        <w:pStyle w:val="Heading2"/>
        <w:spacing w:after="120" w:before="280"/>
      </w:pPr>
      <w:r>
        <w:rPr>
          <w:rFonts w:ascii="Arial" w:cs="Arial" w:eastAsia="Arial" w:hAnsi="Arial"/>
          <w:b/>
          <w:bCs/>
          <w:color w:val="2563EB"/>
          <w:sz w:val="26"/>
          <w:szCs w:val="26"/>
        </w:rPr>
        <w:t xml:space="preserve">5.5 Pre-Signed URLs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none"/>
              <w:right w:val="single" w:color="D97706" w:sz="4"/>
            </w:tcBorders>
            <w:shd w:fill="FFF8E1" w:val="clear"/>
            <w:tcMar>
              <w:top w:type="dxa" w:w="120"/>
              <w:left w:type="dxa" w:w="240"/>
              <w:bottom w:type="dxa" w:w="30"/>
              <w:right w:type="dxa" w:w="240"/>
            </w:tcMar>
          </w:tcPr>
          <w:p>
            <w:r>
              <w:rPr>
                <w:rFonts w:ascii="Arial" w:cs="Arial" w:eastAsia="Arial" w:hAnsi="Arial"/>
                <w:color w:val="1B2A4A"/>
                <w:sz w:val="19"/>
                <w:szCs w:val="19"/>
              </w:rPr>
              <w:t xml:space="preserve">Use pre-signed URLs only when:</w:t>
            </w:r>
          </w:p>
        </w:tc>
      </w:tr>
      <w:tr>
        <w:tc>
          <w:tcPr>
            <w:tcW w:type="dxa" w:w="9360"/>
            <w:tcBorders>
              <w:top w:val="none"/>
              <w:left w:val="single" w:color="D97706" w:sz="4"/>
              <w:bottom w:val="none"/>
              <w:right w:val="single" w:color="D97706" w:sz="4"/>
            </w:tcBorders>
            <w:shd w:fill="FFF8E1" w:val="clear"/>
            <w:tcMar>
              <w:top w:type="dxa" w:w="30"/>
              <w:left w:type="dxa" w:w="240"/>
              <w:bottom w:type="dxa" w:w="30"/>
              <w:right w:type="dxa" w:w="240"/>
            </w:tcMar>
          </w:tcPr>
          <w:p>
            <w:r>
              <w:rPr>
                <w:rFonts w:ascii="Arial" w:cs="Arial" w:eastAsia="Arial" w:hAnsi="Arial"/>
                <w:color w:val="1B2A4A"/>
                <w:sz w:val="19"/>
                <w:szCs w:val="19"/>
              </w:rPr>
              <w:t xml:space="preserve">  • The client has no direct S3 access via IAM</w:t>
            </w:r>
          </w:p>
        </w:tc>
      </w:tr>
      <w:tr>
        <w:tc>
          <w:tcPr>
            <w:tcW w:type="dxa" w:w="9360"/>
            <w:tcBorders>
              <w:top w:val="none"/>
              <w:left w:val="single" w:color="D97706" w:sz="4"/>
              <w:bottom w:val="single" w:color="D97706" w:sz="4"/>
              <w:right w:val="single" w:color="D97706" w:sz="4"/>
            </w:tcBorders>
            <w:shd w:fill="FFF8E1" w:val="clear"/>
            <w:tcMar>
              <w:top w:type="dxa" w:w="30"/>
              <w:left w:type="dxa" w:w="240"/>
              <w:bottom w:type="dxa" w:w="120"/>
              <w:right w:type="dxa" w:w="240"/>
            </w:tcMar>
          </w:tcPr>
          <w:p>
            <w:r>
              <w:rPr>
                <w:rFonts w:ascii="Arial" w:cs="Arial" w:eastAsia="Arial" w:hAnsi="Arial"/>
                <w:color w:val="1B2A4A"/>
                <w:sz w:val="19"/>
                <w:szCs w:val="19"/>
              </w:rPr>
              <w:t xml:space="preserve">  • Controlled, time-limited access is required for a third party</w:t>
            </w:r>
          </w:p>
        </w:tc>
      </w:tr>
    </w:tbl>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6. Output Identification</w:t>
      </w:r>
    </w:p>
    <w:p>
      <w:pPr>
        <w:pStyle w:val="Heading2"/>
        <w:spacing w:after="120" w:before="280"/>
      </w:pPr>
      <w:r>
        <w:rPr>
          <w:rFonts w:ascii="Arial" w:cs="Arial" w:eastAsia="Arial" w:hAnsi="Arial"/>
          <w:b/>
          <w:bCs/>
          <w:color w:val="2563EB"/>
          <w:sz w:val="26"/>
          <w:szCs w:val="26"/>
        </w:rPr>
        <w:t xml:space="preserve">6.1 Deterministic Resolution</w:t>
      </w:r>
    </w:p>
    <w:p>
      <w:pPr>
        <w:spacing w:after="100" w:before="80"/>
      </w:pPr>
      <w:r>
        <w:rPr>
          <w:rFonts w:ascii="Arial" w:cs="Arial" w:eastAsia="Arial" w:hAnsi="Arial"/>
          <w:color w:val="334155"/>
          <w:sz w:val="20"/>
          <w:szCs w:val="20"/>
        </w:rPr>
        <w:t xml:space="preserve">The output path is fully deterministic and derived from two sources:</w:t>
      </w:r>
    </w:p>
    <w:p>
      <w:pPr>
        <w:pStyle w:val="ListParagraph"/>
        <w:numPr>
          <w:ilvl w:val="0"/>
          <w:numId w:val="2"/>
        </w:numPr>
        <w:spacing w:after="60" w:before="60"/>
      </w:pPr>
      <w:r>
        <w:rPr>
          <w:rFonts w:ascii="Arial" w:cs="Arial" w:eastAsia="Arial" w:hAnsi="Arial"/>
          <w:color w:val="334155"/>
          <w:sz w:val="20"/>
          <w:szCs w:val="20"/>
        </w:rPr>
        <w:t xml:space="preserve">The input S3 contract path (preserved verbatim)</w:t>
      </w:r>
    </w:p>
    <w:p>
      <w:pPr>
        <w:pStyle w:val="ListParagraph"/>
        <w:numPr>
          <w:ilvl w:val="0"/>
          <w:numId w:val="2"/>
        </w:numPr>
        <w:spacing w:after="60" w:before="60"/>
      </w:pPr>
      <w:r>
        <w:rPr>
          <w:rFonts w:ascii="Arial" w:cs="Arial" w:eastAsia="Arial" w:hAnsi="Arial"/>
          <w:color w:val="334155"/>
          <w:sz w:val="20"/>
          <w:szCs w:val="20"/>
        </w:rPr>
        <w:t xml:space="preserve">The targetFileName field in the XENA metadata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none"/>
              <w:right w:val="single" w:color="2563EB" w:sz="4"/>
            </w:tcBorders>
            <w:shd w:fill="DBEAFE" w:val="clear"/>
            <w:tcMar>
              <w:top w:type="dxa" w:w="120"/>
              <w:left w:type="dxa" w:w="240"/>
              <w:bottom w:type="dxa" w:w="120"/>
              <w:right w:type="dxa" w:w="240"/>
            </w:tcMar>
          </w:tcPr>
          <w:p>
            <w:r>
              <w:rPr>
                <w:rFonts w:ascii="Arial" w:cs="Arial" w:eastAsia="Arial" w:hAnsi="Arial"/>
                <w:color w:val="1B2A4A"/>
                <w:sz w:val="19"/>
                <w:szCs w:val="19"/>
              </w:rPr>
              <w:t xml:space="preserve">Full output path = output_bucket + contract_path + targetFileName</w:t>
            </w:r>
          </w:p>
        </w:tc>
      </w:tr>
    </w:tbl>
    <w:p>
      <w:pPr>
        <w:spacing w:after="0" w:before="120"/>
      </w:pPr>
    </w:p>
    <w:p>
      <w:pPr>
        <w:pStyle w:val="Heading2"/>
        <w:spacing w:after="120" w:before="280"/>
      </w:pPr>
      <w:r>
        <w:rPr>
          <w:rFonts w:ascii="Arial" w:cs="Arial" w:eastAsia="Arial" w:hAnsi="Arial"/>
          <w:b/>
          <w:bCs/>
          <w:color w:val="2563EB"/>
          <w:sz w:val="26"/>
          <w:szCs w:val="26"/>
        </w:rPr>
        <w:t xml:space="preserve">6.2 Programmatic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import pyarrow.parquet as pq</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boto3</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import io</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def read_xena_output(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bucket: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key: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region: str = "eu-west-1",</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Stream a XENA output Parquet file into a PyArrow Table.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Returns: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pyarrow.Table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s3  = boto3.client("s3", region_name=region)</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obj = s3.get_object(Bucket=bucket, Key=key)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buf = io.BytesIO(obj["Body"].read())</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return pq.read_table(buf)</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if __name__ == "__main__":</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table = read_xena_output(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bucket="xena-data-lake-output-pro",</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key="emir/ES/REG_REPORTING/20260424/intraday/1/results.parquet",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print(table.schema)</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    print(table.to_pandas().head())</w:t>
            </w:r>
          </w:p>
        </w:tc>
      </w:tr>
    </w:tbl>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7. Sync vs. Async Flow</w:t>
      </w:r>
    </w:p>
    <w:p>
      <w:pPr>
        <w:pStyle w:val="Heading2"/>
        <w:spacing w:after="120" w:before="280"/>
      </w:pPr>
      <w:r>
        <w:rPr>
          <w:rFonts w:ascii="Arial" w:cs="Arial" w:eastAsia="Arial" w:hAnsi="Arial"/>
          <w:b/>
          <w:bCs/>
          <w:color w:val="2563EB"/>
          <w:sz w:val="26"/>
          <w:szCs w:val="26"/>
        </w:rPr>
        <w:t xml:space="preserve">7.1 Native Model</w:t>
      </w:r>
    </w:p>
    <w:p>
      <w:pPr>
        <w:spacing w:after="100" w:before="80"/>
      </w:pPr>
      <w:r>
        <w:rPr>
          <w:rFonts w:ascii="Arial" w:cs="Arial" w:eastAsia="Arial" w:hAnsi="Arial"/>
          <w:color w:val="334155"/>
          <w:sz w:val="20"/>
          <w:szCs w:val="20"/>
        </w:rPr>
        <w:t xml:space="preserve">XENA's native execution model is fully asynchronous and event-driven. Jobs are submitted via S3 PutObject and consumed from S3 or SQS — no blocking calls exist in the control plane.</w:t>
      </w:r>
    </w:p>
    <w:p>
      <w:pPr>
        <w:spacing w:after="0" w:before="100"/>
      </w:pPr>
    </w:p>
    <w:p>
      <w:pPr>
        <w:pStyle w:val="Heading2"/>
        <w:spacing w:after="120" w:before="280"/>
      </w:pPr>
      <w:r>
        <w:rPr>
          <w:rFonts w:ascii="Arial" w:cs="Arial" w:eastAsia="Arial" w:hAnsi="Arial"/>
          <w:b/>
          <w:bCs/>
          <w:color w:val="2563EB"/>
          <w:sz w:val="26"/>
          <w:szCs w:val="26"/>
        </w:rPr>
        <w:t xml:space="preserve">7.2 Synchronous Facade Pattern</w:t>
      </w:r>
    </w:p>
    <w:p>
      <w:pPr>
        <w:spacing w:after="100" w:before="80"/>
      </w:pPr>
      <w:r>
        <w:rPr>
          <w:rFonts w:ascii="Arial" w:cs="Arial" w:eastAsia="Arial" w:hAnsi="Arial"/>
          <w:color w:val="334155"/>
          <w:sz w:val="20"/>
          <w:szCs w:val="20"/>
        </w:rPr>
        <w:t xml:space="preserve">For clients that require a synchronous interface (e.g., REST APIs, batch scripts), wrap the async model with a blocking facade: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8"/>
              <w:bottom w:val="none"/>
              <w:right w:val="none"/>
            </w:tcBorders>
            <w:shd w:fill="1E293B" w:val="clear"/>
            <w:tcMar>
              <w:top w:type="dxa" w:w="120"/>
              <w:left w:type="dxa" w:w="240"/>
              <w:bottom w:type="dxa" w:w="20"/>
              <w:right w:type="dxa" w:w="240"/>
            </w:tcMar>
          </w:tcPr>
          <w:p>
            <w:r>
              <w:rPr>
                <w:rFonts w:ascii="Courier New" w:cs="Courier New" w:eastAsia="Courier New" w:hAnsi="Courier New"/>
                <w:color w:val="E2E8F0"/>
                <w:sz w:val="17"/>
                <w:szCs w:val="17"/>
              </w:rPr>
              <w:t xml:space="preserve">def submit_and_wait(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input_bucket: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input_key: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parquet_bytes: bytes,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output_bucket: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output_key: str,</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poll_interval: int = 10,</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max_attempts: int = 60,</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-&gt; dict: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"""Submit a XENA job and block until the output is available.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This provides a synchronous façade over the async pipeline.</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Prefer the event-driven model (SQS) for production workloads.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s3 = boto3.client("s3")</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 1. Upload input artifact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s3.put_object(Bucket=input_bucket, Key=input_key, Body=parquet_bytes)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 2. Block until the output file appears</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return poll_for_output(</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output_bucket, output_key,</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interval_seconds=poll_interval,</w:t>
            </w:r>
          </w:p>
        </w:tc>
      </w:tr>
      <w:tr>
        <w:tc>
          <w:tcPr>
            <w:tcW w:type="dxa" w:w="9360"/>
            <w:tcBorders>
              <w:top w:val="none"/>
              <w:left w:val="single" w:color="0EA5E9" w:sz="8"/>
              <w:bottom w:val="none"/>
              <w:right w:val="none"/>
            </w:tcBorders>
            <w:shd w:fill="1E293B" w:val="clear"/>
            <w:tcMar>
              <w:top w:type="dxa" w:w="20"/>
              <w:left w:type="dxa" w:w="240"/>
              <w:bottom w:type="dxa" w:w="20"/>
              <w:right w:type="dxa" w:w="240"/>
            </w:tcMar>
          </w:tcPr>
          <w:p>
            <w:r>
              <w:rPr>
                <w:rFonts w:ascii="Courier New" w:cs="Courier New" w:eastAsia="Courier New" w:hAnsi="Courier New"/>
                <w:color w:val="E2E8F0"/>
                <w:sz w:val="17"/>
                <w:szCs w:val="17"/>
              </w:rPr>
              <w:t xml:space="preserve">        max_attempts=max_attempts,</w:t>
            </w:r>
          </w:p>
        </w:tc>
      </w:tr>
      <w:tr>
        <w:tc>
          <w:tcPr>
            <w:tcW w:type="dxa" w:w="9360"/>
            <w:tcBorders>
              <w:top w:val="none"/>
              <w:left w:val="single" w:color="0EA5E9" w:sz="8"/>
              <w:bottom w:val="single" w:color="0EA5E9" w:sz="4"/>
              <w:right w:val="none"/>
            </w:tcBorders>
            <w:shd w:fill="1E293B" w:val="clear"/>
            <w:tcMar>
              <w:top w:type="dxa" w:w="20"/>
              <w:left w:type="dxa" w:w="240"/>
              <w:bottom w:type="dxa" w:w="120"/>
              <w:right w:type="dxa" w:w="240"/>
            </w:tcMar>
          </w:tcPr>
          <w:p>
            <w:r>
              <w:rPr>
                <w:rFonts w:ascii="Courier New" w:cs="Courier New" w:eastAsia="Courier New" w:hAnsi="Courier New"/>
                <w:color w:val="E2E8F0"/>
                <w:sz w:val="17"/>
                <w:szCs w:val="17"/>
              </w:rPr>
              <w:t xml:space="preserve">    )</w:t>
            </w:r>
          </w:p>
        </w:tc>
      </w:tr>
    </w:tbl>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8. End-to-End Execution Flow</w:t>
      </w:r>
    </w:p>
    <w:p>
      <w:pPr>
        <w:spacing w:after="100" w:before="80"/>
      </w:pPr>
      <w:r>
        <w:rPr>
          <w:rFonts w:ascii="Arial" w:cs="Arial" w:eastAsia="Arial" w:hAnsi="Arial"/>
          <w:color w:val="334155"/>
          <w:sz w:val="20"/>
          <w:szCs w:val="20"/>
        </w:rPr>
        <w:t xml:space="preserve">The following sequence describes the full lifecycle of a XENA job from client submission to output delivery: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Step</w:t>
            </w:r>
          </w:p>
        </w:tc>
        <w:tc>
          <w:tcPr>
            <w:tcW w:type="dxa" w:w="300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516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Action</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1</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Courier New" w:cs="Courier New" w:eastAsia="Courier New" w:hAnsi="Courier New"/>
                <w:color w:val="2563EB"/>
                <w:sz w:val="18"/>
                <w:szCs w:val="18"/>
              </w:rPr>
              <w:t xml:space="preserve">Client → S3</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PutObject — upload Parquet artifact to input bucket</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2</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Courier New" w:cs="Courier New" w:eastAsia="Courier New" w:hAnsi="Courier New"/>
                <w:color w:val="2563EB"/>
                <w:sz w:val="18"/>
                <w:szCs w:val="18"/>
              </w:rPr>
              <w:t xml:space="preserve">S3 → SQS</w:t>
            </w:r>
          </w:p>
        </w:tc>
        <w:tc>
          <w:tcPr>
            <w:tcW w:type="dxa" w:w="51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S3 event notification triggers XENA SQS message</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3</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Courier New" w:cs="Courier New" w:eastAsia="Courier New" w:hAnsi="Courier New"/>
                <w:color w:val="2563EB"/>
                <w:sz w:val="18"/>
                <w:szCs w:val="18"/>
              </w:rPr>
              <w:t xml:space="preserve">SQS → XENALoader</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Lambda consumes message, validates contract</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4</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Courier New" w:cs="Courier New" w:eastAsia="Courier New" w:hAnsi="Courier New"/>
                <w:color w:val="2563EB"/>
                <w:sz w:val="18"/>
                <w:szCs w:val="18"/>
              </w:rPr>
              <w:t xml:space="preserve">XENALoader → GRID</w:t>
            </w:r>
          </w:p>
        </w:tc>
        <w:tc>
          <w:tcPr>
            <w:tcW w:type="dxa" w:w="51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Dispatches job with metadata and payload</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5</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Courier New" w:cs="Courier New" w:eastAsia="Courier New" w:hAnsi="Courier New"/>
                <w:color w:val="2563EB"/>
                <w:sz w:val="18"/>
                <w:szCs w:val="18"/>
              </w:rPr>
              <w:t xml:space="preserve">GRID</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Resolves library version, executes computation</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6</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Courier New" w:cs="Courier New" w:eastAsia="Courier New" w:hAnsi="Courier New"/>
                <w:color w:val="2563EB"/>
                <w:sz w:val="18"/>
                <w:szCs w:val="18"/>
              </w:rPr>
              <w:t xml:space="preserve">GRID → OutputHandler</w:t>
            </w:r>
          </w:p>
        </w:tc>
        <w:tc>
          <w:tcPr>
            <w:tcW w:type="dxa" w:w="51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Returns result; OutputHandler writes to S3 output</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7</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Courier New" w:cs="Courier New" w:eastAsia="Courier New" w:hAnsi="Courier New"/>
                <w:color w:val="2563EB"/>
                <w:sz w:val="18"/>
                <w:szCs w:val="18"/>
              </w:rPr>
              <w:t xml:space="preserve">OutputHandler → SQS</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(Optional) Sends completion event to client queue</w:t>
            </w:r>
          </w:p>
        </w:tc>
      </w:tr>
      <w:tr>
        <w:tc>
          <w:tcPr>
            <w:tcW w:type="dxa" w:w="1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8</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Courier New" w:cs="Courier New" w:eastAsia="Courier New" w:hAnsi="Courier New"/>
                <w:color w:val="2563EB"/>
                <w:sz w:val="18"/>
                <w:szCs w:val="18"/>
              </w:rPr>
              <w:t xml:space="preserve">Client</w:t>
            </w:r>
          </w:p>
        </w:tc>
        <w:tc>
          <w:tcPr>
            <w:tcW w:type="dxa" w:w="51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Polls S3 or consumes SQS event to retrieve output</w:t>
            </w:r>
          </w:p>
        </w:tc>
      </w:tr>
    </w:tbl>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9. Cross-Account 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Direction</w:t>
            </w:r>
          </w:p>
        </w:tc>
        <w:tc>
          <w:tcPr>
            <w:tcW w:type="dxa" w:w="624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Mechanism</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Client → XENA</w:t>
            </w:r>
          </w:p>
        </w:tc>
        <w:tc>
          <w:tcPr>
            <w:tcW w:type="dxa" w:w="624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S3 PutObject with scoped IAM policy</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XENA → GRID</w:t>
            </w:r>
          </w:p>
        </w:tc>
        <w:tc>
          <w:tcPr>
            <w:tcW w:type="dxa" w:w="624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Internal Lambda dispatch (no client config required)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XENA → Client</w:t>
            </w:r>
          </w:p>
        </w:tc>
        <w:tc>
          <w:tcPr>
            <w:tcW w:type="dxa" w:w="624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SQS SendMessage via AssumeRole</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Authentication</w:t>
            </w:r>
          </w:p>
        </w:tc>
        <w:tc>
          <w:tcPr>
            <w:tcW w:type="dxa" w:w="624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IAM cross-account AssumeRole</w:t>
            </w:r>
          </w:p>
        </w:tc>
      </w:tr>
    </w:tbl>
    <w:p>
      <w:pPr>
        <w:spacing w:after="0" w:before="200"/>
      </w:pPr>
    </w:p>
    <w:p>
      <w:pPr>
        <w:pStyle w:val="Heading1"/>
        <w:pBdr>
          <w:bottom w:val="single" w:color="2563EB" w:sz="6" w:space="4"/>
        </w:pBdr>
        <w:spacing w:after="160" w:before="360"/>
      </w:pPr>
      <w:r>
        <w:rPr>
          <w:rFonts w:ascii="Arial" w:cs="Arial" w:eastAsia="Arial" w:hAnsi="Arial"/>
          <w:b/>
          <w:bCs/>
          <w:color w:val="1B2A4A"/>
          <w:sz w:val="36"/>
          <w:szCs w:val="36"/>
        </w:rPr>
        <w:t xml:space="preserve">10.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Principle</w:t>
            </w:r>
          </w:p>
        </w:tc>
        <w:tc>
          <w:tcPr>
            <w:tcW w:type="dxa" w:w="4680"/>
            <w:tcBorders>
              <w:top w:val="single" w:color="2563EB" w:sz="4"/>
              <w:left w:val="single" w:color="2563EB" w:sz="4"/>
              <w:bottom w:val="single" w:color="2563EB" w:sz="4"/>
              <w:right w:val="single" w:color="2563EB" w:sz="4"/>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Single input artifact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One Parquet file per job — no secondary payloads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Contract-driven execution</w:t>
            </w:r>
          </w:p>
        </w:tc>
        <w:tc>
          <w:tcPr>
            <w:tcW w:type="dxa" w:w="46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All routing derived from the S3 path, not metadata</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Minimal metadata</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XENA metadata only contains what XENA needs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Event-driven orchestration</w:t>
            </w:r>
          </w:p>
        </w:tc>
        <w:tc>
          <w:tcPr>
            <w:tcW w:type="dxa" w:w="46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S3 events trigger the pipeline; no polling in the control plane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Stateless processing</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r>
              <w:rPr>
                <w:rFonts w:ascii="Arial" w:cs="Arial" w:eastAsia="Arial" w:hAnsi="Arial"/>
                <w:color w:val="334155"/>
                <w:sz w:val="18"/>
                <w:szCs w:val="18"/>
              </w:rPr>
              <w:t xml:space="preserve">Each Lambda invocation is independent with no shared state</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S3 as source of truth</w:t>
            </w:r>
          </w:p>
        </w:tc>
        <w:tc>
          <w:tcPr>
            <w:tcW w:type="dxa" w:w="46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center"/>
          </w:tcPr>
          <w:p>
            <w:r>
              <w:rPr>
                <w:rFonts w:ascii="Arial" w:cs="Arial" w:eastAsia="Arial" w:hAnsi="Arial"/>
                <w:color w:val="334155"/>
                <w:sz w:val="18"/>
                <w:szCs w:val="18"/>
              </w:rPr>
              <w:t xml:space="preserve">Input, output, and error artifacts all live in S3</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none"/>
              <w:right w:val="single" w:color="2563EB" w:sz="4"/>
            </w:tcBorders>
            <w:shd w:fill="DBEAFE" w:val="clear"/>
            <w:tcMar>
              <w:top w:type="dxa" w:w="120"/>
              <w:left w:type="dxa" w:w="240"/>
              <w:bottom w:type="dxa" w:w="30"/>
              <w:right w:type="dxa" w:w="240"/>
            </w:tcMar>
          </w:tcPr>
          <w:p>
            <w:r>
              <w:rPr>
                <w:rFonts w:ascii="Arial" w:cs="Arial" w:eastAsia="Arial" w:hAnsi="Arial"/>
                <w:color w:val="1B2A4A"/>
                <w:sz w:val="19"/>
                <w:szCs w:val="19"/>
              </w:rPr>
              <w:t xml:space="preserve">For integration support, contact the XENA platform team.</w:t>
            </w:r>
          </w:p>
        </w:tc>
      </w:tr>
      <w:tr>
        <w:tc>
          <w:tcPr>
            <w:tcW w:type="dxa" w:w="9360"/>
            <w:tcBorders>
              <w:top w:val="none"/>
              <w:left w:val="single" w:color="2563EB" w:sz="4"/>
              <w:bottom w:val="single" w:color="2563EB" w:sz="4"/>
              <w:right w:val="single" w:color="2563EB" w:sz="4"/>
            </w:tcBorders>
            <w:shd w:fill="DBEAFE" w:val="clear"/>
            <w:tcMar>
              <w:top w:type="dxa" w:w="30"/>
              <w:left w:type="dxa" w:w="240"/>
              <w:bottom w:type="dxa" w:w="120"/>
              <w:right w:type="dxa" w:w="240"/>
            </w:tcMar>
          </w:tcPr>
          <w:p>
            <w:r>
              <w:rPr>
                <w:rFonts w:ascii="Arial" w:cs="Arial" w:eastAsia="Arial" w:hAnsi="Arial"/>
                <w:color w:val="1B2A4A"/>
                <w:sz w:val="19"/>
                <w:szCs w:val="19"/>
              </w:rPr>
              <w:t xml:space="preserve">Always validate your IAM role trust policies and S3 path contracts before submitting production jobs.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before="120"/>
    </w:pPr>
    <w:r>
      <w:rPr>
        <w:rFonts w:ascii="Arial" w:cs="Arial" w:eastAsia="Arial" w:hAnsi="Arial"/>
        <w:color w:val="475569"/>
        <w:sz w:val="16"/>
        <w:szCs w:val="16"/>
      </w:rPr>
      <w:t xml:space="preserve">Confidential — Internal Use Only</w:t>
    </w:r>
    <w:r>
      <w:rPr>
        <w:rFonts w:ascii="Arial" w:cs="Arial" w:eastAsia="Arial" w:hAnsi="Arial"/>
        <w:color w:val="47556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360"/>
      </w:tabs>
      <w:spacing w:after="160"/>
    </w:pPr>
    <w:r>
      <w:rPr>
        <w:rFonts w:ascii="Arial" w:cs="Arial" w:eastAsia="Arial" w:hAnsi="Arial"/>
        <w:b/>
        <w:bCs/>
        <w:color w:val="1B2A4A"/>
        <w:sz w:val="18"/>
        <w:szCs w:val="18"/>
      </w:rPr>
      <w:t xml:space="preserve">XENA LaaS</w:t>
    </w:r>
    <w:r>
      <w:rPr>
        <w:rFonts w:ascii="Arial" w:cs="Arial" w:eastAsia="Arial" w:hAnsi="Arial"/>
        <w:color w:val="475569"/>
        <w:sz w:val="16"/>
        <w:szCs w:val="16"/>
      </w:rPr>
      <w:t xml:space="preserve">	Library Onboarding &amp; Client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2026-05-11T18:30:35.106Z</dcterms:created>
  <dcterms:modified xsi:type="dcterms:W3CDTF">2026-05-11T18:30:35.107Z</dcterms:modified>
</cp:coreProperties>
</file>

<file path=docProps/custom.xml><?xml version="1.0" encoding="utf-8"?>
<Properties xmlns="http://schemas.openxmlformats.org/officeDocument/2006/custom-properties" xmlns:vt="http://schemas.openxmlformats.org/officeDocument/2006/docPropsVTypes"/>
</file>