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480" w:before="2880"/>
        <w:jc w:val="center"/>
      </w:pPr>
      <w:r>
        <w:rPr>
          <w:rFonts w:ascii="Calibri" w:cs="Calibri" w:eastAsia="Calibri" w:hAnsi="Calibri"/>
          <w:b/>
          <w:bCs/>
          <w:color w:val="FFFFFF"/>
          <w:sz w:val="64"/>
          <w:szCs w:val="64"/>
        </w:rPr>
        <w:t xml:space="preserve">XENA LaaS</w:t>
      </w:r>
    </w:p>
    <w:p>
      <w:pPr>
        <w:spacing w:after="200"/>
        <w:jc w:val="center"/>
      </w:pPr>
      <w:r>
        <w:rPr>
          <w:rFonts w:ascii="Calibri" w:cs="Calibri" w:eastAsia="Calibri" w:hAnsi="Calibri"/>
          <w:color w:val="D6E4F7"/>
          <w:sz w:val="36"/>
          <w:szCs w:val="36"/>
        </w:rPr>
        <w:t xml:space="preserve">NettingSet Completion Signaling Architecture</w:t>
      </w:r>
    </w:p>
    <w:p>
      <w:pPr>
        <w:spacing w:after="1440"/>
        <w:jc w:val="center"/>
      </w:pPr>
      <w:r>
        <w:rPr>
          <w:rFonts w:ascii="Calibri" w:cs="Calibri" w:eastAsia="Calibri" w:hAnsi="Calibri"/>
          <w:i/>
          <w:iCs/>
          <w:color w:val="BDC7D8"/>
          <w:sz w:val="18"/>
          <w:szCs w:val="18"/>
        </w:rPr>
        <w:t xml:space="preserve">Architecture Design Document · v1.0</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FFFFFF"/>
          <w:sz w:val="32"/>
          <w:szCs w:val="32"/>
        </w:rPr>
        <w:t xml:space="preserve">1. Executive Summary</w:t>
      </w:r>
    </w:p>
    <w:p>
      <w:pPr>
        <w:spacing w:after="120"/>
      </w:pPr>
      <w:r>
        <w:rPr>
          <w:rFonts w:ascii="Calibri" w:cs="Calibri" w:eastAsia="Calibri" w:hAnsi="Calibri"/>
          <w:sz w:val="20"/>
          <w:szCs w:val="20"/>
        </w:rPr>
        <w:t xml:space="preserve">This document describes the architecture, rationale, responsibilities, execution flow, and implementation strategy for NettingSet completion signaling within the XENA Library-as-a-Service (LaaS) platform.</w:t>
      </w:r>
    </w:p>
    <w:p>
      <w:pPr>
        <w:spacing w:after="120"/>
      </w:pPr>
      <w:r>
        <w:rPr>
          <w:rFonts w:ascii="Calibri" w:cs="Calibri" w:eastAsia="Calibri" w:hAnsi="Calibri"/>
          <w:sz w:val="20"/>
          <w:szCs w:val="20"/>
        </w:rPr>
        <w:t xml:space="preserve">The objective of this design is to enable FMTM-specific multi-stage execution workflows while preserving the universal and generic nature of the XENA orchestration layer.</w:t>
      </w:r>
    </w:p>
    <w:p>
      <w:pPr>
        <w:spacing w:after="120"/>
      </w:pPr>
      <w:r>
        <w:rPr>
          <w:rFonts w:ascii="Calibri" w:cs="Calibri" w:eastAsia="Calibri" w:hAnsi="Calibri"/>
          <w:sz w:val="20"/>
          <w:szCs w:val="20"/>
        </w:rPr>
        <w:t xml:space="preserve">The proposed architecture introduces a distributed aggregation mechanism implemented inside GRID/XDE, leveraging Redis atomic operations to track deal-level execution progress and determine NettingSet completion without introducing orchestration leakage into XENA.</w:t>
      </w:r>
    </w:p>
    <w:p>
      <w:pPr>
        <w:spacing w:after="100"/>
      </w:pPr>
    </w:p>
    <w:p>
      <w:pPr>
        <w:pBdr>
          <w:left w:val="single" w:color="2E6EBF" w:sz="12"/>
        </w:pBdr>
        <w:shd w:fill="EEF4FB" w:val="clear"/>
        <w:spacing w:after="120"/>
        <w:ind w:left="360" w:right="360"/>
      </w:pPr>
      <w:r>
        <w:rPr>
          <w:rFonts w:ascii="Calibri" w:cs="Calibri" w:eastAsia="Calibri" w:hAnsi="Calibri"/>
          <w:b/>
          <w:bCs/>
          <w:color w:val="2E6EBF"/>
          <w:sz w:val="20"/>
          <w:szCs w:val="20"/>
        </w:rPr>
        <w:t xml:space="preserve">Design intent: </w:t>
      </w:r>
      <w:r>
        <w:rPr>
          <w:rFonts w:ascii="Calibri" w:cs="Calibri" w:eastAsia="Calibri" w:hAnsi="Calibri"/>
          <w:sz w:val="20"/>
          <w:szCs w:val="20"/>
        </w:rPr>
        <w:t xml:space="preserve">The architecture intentionally avoids event explosion from per-deal S3 notifications, library-specific orchestration logic inside XENA, stateful orchestration complexity in the XENA control plane, additional databases or heavy coordination layers, and additional synchronous APIs between XENA and GRID.</w:t>
      </w:r>
    </w:p>
    <w:p>
      <w:pPr>
        <w:spacing w:after="120"/>
      </w:pPr>
      <w:r>
        <w:rPr>
          <w:rFonts w:ascii="Calibri" w:cs="Calibri" w:eastAsia="Calibri" w:hAnsi="Calibri"/>
          <w:sz w:val="20"/>
          <w:szCs w:val="20"/>
        </w:rPr>
        <w:t xml:space="preserve">Instead, the architecture extends the existing shared-storage and event-driven model already adopted by XENA LaaS.</w:t>
      </w:r>
    </w:p>
    <w:p>
      <w:pPr>
        <w:pStyle w:val="Heading1"/>
        <w:spacing w:after="200" w:before="360"/>
      </w:pPr>
      <w:r>
        <w:rPr>
          <w:rFonts w:ascii="Calibri" w:cs="Calibri" w:eastAsia="Calibri" w:hAnsi="Calibri"/>
          <w:b/>
          <w:bCs/>
          <w:color w:val="FFFFFF"/>
          <w:sz w:val="32"/>
          <w:szCs w:val="32"/>
        </w:rPr>
        <w:t xml:space="preserve">2. Context and Problem Statement</w:t>
      </w:r>
    </w:p>
    <w:p>
      <w:pPr>
        <w:spacing w:after="120"/>
      </w:pPr>
      <w:r>
        <w:rPr>
          <w:rFonts w:ascii="Calibri" w:cs="Calibri" w:eastAsia="Calibri" w:hAnsi="Calibri"/>
          <w:sz w:val="20"/>
          <w:szCs w:val="20"/>
        </w:rPr>
        <w:t xml:space="preserve">FMTM processing generates output artifacts grouped by Book, NettingSet, and CSA/Collateral domain.</w:t>
      </w:r>
    </w:p>
    <w:p>
      <w:pPr>
        <w:spacing w:after="120"/>
      </w:pPr>
      <w:r>
        <w:rPr>
          <w:rFonts w:ascii="Calibri" w:cs="Calibri" w:eastAsia="Calibri" w:hAnsi="Calibri"/>
          <w:sz w:val="20"/>
          <w:szCs w:val="20"/>
        </w:rPr>
        <w:t xml:space="preserve">Current XENA behavior already supports book-level completion tracking through </w:t>
      </w:r>
    </w:p>
    <w:p>
      <w:pPr>
        <w:spacing w:after="0"/>
      </w:pPr>
    </w:p>
    <w:p>
      <w:pPr>
        <w:pStyle w:val="ListParagraph"/>
        <w:numPr>
          <w:ilvl w:val="0"/>
          <w:numId w:val="2"/>
        </w:numPr>
        <w:spacing w:after="80"/>
      </w:pPr>
      <w:r>
        <w:rPr>
          <w:rFonts w:ascii="Calibri" w:cs="Calibri" w:eastAsia="Calibri" w:hAnsi="Calibri"/>
          <w:sz w:val="20"/>
          <w:szCs w:val="20"/>
        </w:rPr>
        <w:t xml:space="preserve">_progress.json</w:t>
      </w:r>
    </w:p>
    <w:p>
      <w:pPr>
        <w:pStyle w:val="ListParagraph"/>
        <w:numPr>
          <w:ilvl w:val="0"/>
          <w:numId w:val="2"/>
        </w:numPr>
        <w:spacing w:after="80"/>
      </w:pPr>
      <w:r>
        <w:rPr>
          <w:rFonts w:ascii="Calibri" w:cs="Calibri" w:eastAsia="Calibri" w:hAnsi="Calibri"/>
          <w:sz w:val="20"/>
          <w:szCs w:val="20"/>
        </w:rPr>
        <w:t xml:space="preserve">manifest.json</w:t>
      </w:r>
    </w:p>
    <w:p>
      <w:pPr>
        <w:spacing w:after="80"/>
      </w:pPr>
    </w:p>
    <w:p>
      <w:pPr>
        <w:spacing w:after="120"/>
      </w:pPr>
      <w:r>
        <w:rPr>
          <w:rFonts w:ascii="Calibri" w:cs="Calibri" w:eastAsia="Calibri" w:hAnsi="Calibri"/>
          <w:sz w:val="20"/>
          <w:szCs w:val="20"/>
        </w:rPr>
        <w:t xml:space="preserve">These artifacts are written by GRID/XDE into the output bucket. However, a new business requirement introduces an additional orchestration boundary:</w:t>
      </w:r>
    </w:p>
    <w:p>
      <w:pPr>
        <w:pBdr>
          <w:left w:val="single" w:color="2E6EBF" w:sz="12"/>
        </w:pBdr>
        <w:shd w:fill="EEF4FB" w:val="clear"/>
        <w:spacing w:after="120"/>
        <w:ind w:left="360" w:right="360"/>
      </w:pPr>
      <w:r>
        <w:rPr>
          <w:rFonts w:ascii="Calibri" w:cs="Calibri" w:eastAsia="Calibri" w:hAnsi="Calibri"/>
          <w:b/>
          <w:bCs/>
          <w:color w:val="2E6EBF"/>
          <w:sz w:val="20"/>
          <w:szCs w:val="20"/>
        </w:rPr>
        <w:t xml:space="preserve">Requirement: </w:t>
      </w:r>
      <w:r>
        <w:rPr>
          <w:rFonts w:ascii="Calibri" w:cs="Calibri" w:eastAsia="Calibri" w:hAnsi="Calibri"/>
          <w:sz w:val="20"/>
          <w:szCs w:val="20"/>
        </w:rPr>
        <w:t xml:space="preserve">The platform must detect when all deals belonging to a specific NettingSet have completed processing.</w:t>
      </w:r>
    </w:p>
    <w:p>
      <w:pPr>
        <w:pStyle w:val="Heading3"/>
        <w:spacing w:after="100" w:before="200"/>
      </w:pPr>
      <w:r>
        <w:rPr>
          <w:rFonts w:ascii="Calibri" w:cs="Calibri" w:eastAsia="Calibri" w:hAnsi="Calibri"/>
          <w:b/>
          <w:bCs/>
          <w:color w:val="2E6EBF"/>
          <w:sz w:val="22"/>
          <w:szCs w:val="22"/>
        </w:rPr>
        <w:t xml:space="preserve">Why This Is Non-Trivial</w:t>
      </w:r>
    </w:p>
    <w:p>
      <w:pPr>
        <w:pStyle w:val="ListParagraph"/>
        <w:numPr>
          <w:ilvl w:val="0"/>
          <w:numId w:val="2"/>
        </w:numPr>
        <w:spacing w:after="80"/>
      </w:pPr>
      <w:r>
        <w:rPr>
          <w:rFonts w:ascii="Calibri" w:cs="Calibri" w:eastAsia="Calibri" w:hAnsi="Calibri"/>
          <w:sz w:val="20"/>
          <w:szCs w:val="20"/>
        </w:rPr>
        <w:t xml:space="preserve">Deals are processed massively in parallel</w:t>
      </w:r>
    </w:p>
    <w:p>
      <w:pPr>
        <w:pStyle w:val="ListParagraph"/>
        <w:numPr>
          <w:ilvl w:val="0"/>
          <w:numId w:val="2"/>
        </w:numPr>
        <w:spacing w:after="80"/>
      </w:pPr>
      <w:r>
        <w:rPr>
          <w:rFonts w:ascii="Calibri" w:cs="Calibri" w:eastAsia="Calibri" w:hAnsi="Calibri"/>
          <w:sz w:val="20"/>
          <w:szCs w:val="20"/>
        </w:rPr>
        <w:t xml:space="preserve">A single book may contain thousands of deals</w:t>
      </w:r>
    </w:p>
    <w:p>
      <w:pPr>
        <w:pStyle w:val="ListParagraph"/>
        <w:numPr>
          <w:ilvl w:val="0"/>
          <w:numId w:val="2"/>
        </w:numPr>
        <w:spacing w:after="80"/>
      </w:pPr>
      <w:r>
        <w:rPr>
          <w:rFonts w:ascii="Calibri" w:cs="Calibri" w:eastAsia="Calibri" w:hAnsi="Calibri"/>
          <w:sz w:val="20"/>
          <w:szCs w:val="20"/>
        </w:rPr>
        <w:t xml:space="preserve">Multiple deals may belong to different NettingSets</w:t>
      </w:r>
    </w:p>
    <w:p>
      <w:pPr>
        <w:pStyle w:val="ListParagraph"/>
        <w:numPr>
          <w:ilvl w:val="0"/>
          <w:numId w:val="2"/>
        </w:numPr>
        <w:spacing w:after="80"/>
      </w:pPr>
      <w:r>
        <w:rPr>
          <w:rFonts w:ascii="Calibri" w:cs="Calibri" w:eastAsia="Calibri" w:hAnsi="Calibri"/>
          <w:sz w:val="20"/>
          <w:szCs w:val="20"/>
        </w:rPr>
        <w:t xml:space="preserve">XENA OutputHandler intentionally ignores deal-level S3 events to avoid event explosion</w:t>
      </w:r>
    </w:p>
    <w:p>
      <w:pPr>
        <w:pStyle w:val="ListParagraph"/>
        <w:numPr>
          <w:ilvl w:val="0"/>
          <w:numId w:val="2"/>
        </w:numPr>
        <w:spacing w:after="80"/>
      </w:pPr>
      <w:r>
        <w:rPr>
          <w:rFonts w:ascii="Calibri" w:cs="Calibri" w:eastAsia="Calibri" w:hAnsi="Calibri"/>
          <w:sz w:val="20"/>
          <w:szCs w:val="20"/>
        </w:rPr>
        <w:t xml:space="preserve">XENA LaaS must remain universal and library-agnostic</w:t>
      </w:r>
    </w:p>
    <w:p>
      <w:pPr>
        <w:spacing w:after="80"/>
      </w:pPr>
    </w:p>
    <w:p>
      <w:pPr>
        <w:spacing w:after="120"/>
      </w:pPr>
      <w:r>
        <w:rPr>
          <w:rFonts w:ascii="Calibri" w:cs="Calibri" w:eastAsia="Calibri" w:hAnsi="Calibri"/>
          <w:sz w:val="20"/>
          <w:szCs w:val="20"/>
        </w:rPr>
        <w:t xml:space="preserve">Therefore, the architecture must support NettingSet completion signaling without violating the architectural principles of XENA LaaS.</w:t>
      </w:r>
    </w:p>
    <w:p>
      <w:pPr>
        <w:pStyle w:val="Heading1"/>
        <w:spacing w:after="200" w:before="360"/>
      </w:pPr>
      <w:r>
        <w:rPr>
          <w:rFonts w:ascii="Calibri" w:cs="Calibri" w:eastAsia="Calibri" w:hAnsi="Calibri"/>
          <w:b/>
          <w:bCs/>
          <w:color w:val="FFFFFF"/>
          <w:sz w:val="32"/>
          <w:szCs w:val="32"/>
        </w:rPr>
        <w:t xml:space="preserve">3. Existing XENA LaaS Architectural Principles</w:t>
      </w:r>
    </w:p>
    <w:p>
      <w:pPr>
        <w:spacing w:after="120"/>
      </w:pPr>
      <w:r>
        <w:rPr>
          <w:rFonts w:ascii="Calibri" w:cs="Calibri" w:eastAsia="Calibri" w:hAnsi="Calibri"/>
          <w:sz w:val="20"/>
          <w:szCs w:val="20"/>
        </w:rPr>
        <w:t xml:space="preserve">The proposed solution preserves the following core XENA principles.</w:t>
      </w:r>
    </w:p>
    <w:p>
      <w:pPr>
        <w:pStyle w:val="Heading2"/>
        <w:spacing w:after="120" w:before="280"/>
      </w:pPr>
      <w:r>
        <w:rPr>
          <w:rFonts w:ascii="Calibri" w:cs="Calibri" w:eastAsia="Calibri" w:hAnsi="Calibri"/>
          <w:b/>
          <w:bCs/>
          <w:color w:val="1F3864"/>
          <w:sz w:val="26"/>
          <w:szCs w:val="26"/>
        </w:rPr>
        <w:t xml:space="preserve">3.1  Universal Orchestration Layer</w:t>
      </w:r>
    </w:p>
    <w:p>
      <w:pPr>
        <w:spacing w:after="120"/>
      </w:pPr>
      <w:r>
        <w:rPr>
          <w:rFonts w:ascii="Calibri" w:cs="Calibri" w:eastAsia="Calibri" w:hAnsi="Calibri"/>
          <w:sz w:val="20"/>
          <w:szCs w:val="20"/>
        </w:rPr>
        <w:t xml:space="preserve">XENA orchestrates generic jobs. It must not contain library-specific branching logic such as:</w:t>
      </w:r>
    </w:p>
    <w:p>
      <w:pPr>
        <w:shd w:fill="1E2A3A" w:val="clear"/>
        <w:spacing w:after="0" w:before="80"/>
        <w:ind w:left="360" w:right="360"/>
      </w:pPr>
      <w:r>
        <w:rPr>
          <w:rFonts w:ascii="Courier New" w:cs="Courier New" w:eastAsia="Courier New" w:hAnsi="Courier New"/>
          <w:color w:val="D4E6F1"/>
          <w:sz w:val="18"/>
          <w:szCs w:val="18"/>
        </w:rPr>
        <w:t xml:space="preserve"># Bad example — never do this inside XENA</w:t>
      </w:r>
    </w:p>
    <w:p>
      <w:pPr>
        <w:shd w:fill="1E2A3A" w:val="clear"/>
        <w:spacing w:after="0" w:before="0"/>
        <w:ind w:left="360" w:right="360"/>
      </w:pPr>
      <w:r>
        <w:rPr>
          <w:rFonts w:ascii="Courier New" w:cs="Courier New" w:eastAsia="Courier New" w:hAnsi="Courier New"/>
          <w:color w:val="D4E6F1"/>
          <w:sz w:val="18"/>
          <w:szCs w:val="18"/>
        </w:rPr>
        <w:t xml:space="preserve">if job_type == 'fmtm':</w:t>
      </w:r>
    </w:p>
    <w:p>
      <w:pPr>
        <w:shd w:fill="1E2A3A" w:val="clear"/>
        <w:spacing w:after="0" w:before="0"/>
        <w:ind w:left="360" w:right="360"/>
      </w:pPr>
      <w:r>
        <w:rPr>
          <w:rFonts w:ascii="Courier New" w:cs="Courier New" w:eastAsia="Courier New" w:hAnsi="Courier New"/>
          <w:color w:val="D4E6F1"/>
          <w:sz w:val="18"/>
          <w:szCs w:val="18"/>
        </w:rPr>
        <w:t xml:space="preserve">    handle_netting_set()</w:t>
      </w:r>
    </w:p>
    <w:p>
      <w:pPr>
        <w:spacing w:after="160"/>
      </w:pPr>
    </w:p>
    <w:p>
      <w:pPr>
        <w:spacing w:after="120"/>
      </w:pPr>
      <w:r>
        <w:rPr>
          <w:rFonts w:ascii="Calibri" w:cs="Calibri" w:eastAsia="Calibri" w:hAnsi="Calibri"/>
          <w:sz w:val="20"/>
          <w:szCs w:val="20"/>
        </w:rPr>
        <w:t xml:space="preserve">Introducing domain-specific orchestration into XENA would break extensibility, reintroduce branching logic, increase coupling between libraries and the orchestration layer, and reduce onboarding simplicity for future libraries. XENA must remain:</w:t>
      </w:r>
    </w:p>
    <w:p>
      <w:pPr>
        <w:pStyle w:val="ListParagraph"/>
        <w:numPr>
          <w:ilvl w:val="0"/>
          <w:numId w:val="2"/>
        </w:numPr>
        <w:spacing w:after="80"/>
      </w:pPr>
      <w:r>
        <w:rPr>
          <w:rFonts w:ascii="Calibri" w:cs="Calibri" w:eastAsia="Calibri" w:hAnsi="Calibri"/>
          <w:sz w:val="20"/>
          <w:szCs w:val="20"/>
        </w:rPr>
        <w:t xml:space="preserve">Contract-driven</w:t>
      </w:r>
    </w:p>
    <w:p>
      <w:pPr>
        <w:pStyle w:val="ListParagraph"/>
        <w:numPr>
          <w:ilvl w:val="0"/>
          <w:numId w:val="2"/>
        </w:numPr>
        <w:spacing w:after="80"/>
      </w:pPr>
      <w:r>
        <w:rPr>
          <w:rFonts w:ascii="Calibri" w:cs="Calibri" w:eastAsia="Calibri" w:hAnsi="Calibri"/>
          <w:sz w:val="20"/>
          <w:szCs w:val="20"/>
        </w:rPr>
        <w:t xml:space="preserve">Event-driven</w:t>
      </w:r>
    </w:p>
    <w:p>
      <w:pPr>
        <w:pStyle w:val="ListParagraph"/>
        <w:numPr>
          <w:ilvl w:val="0"/>
          <w:numId w:val="2"/>
        </w:numPr>
        <w:spacing w:after="80"/>
      </w:pPr>
      <w:r>
        <w:rPr>
          <w:rFonts w:ascii="Calibri" w:cs="Calibri" w:eastAsia="Calibri" w:hAnsi="Calibri"/>
          <w:sz w:val="20"/>
          <w:szCs w:val="20"/>
        </w:rPr>
        <w:t xml:space="preserve">Storage-driven</w:t>
      </w:r>
    </w:p>
    <w:p>
      <w:pPr>
        <w:pStyle w:val="ListParagraph"/>
        <w:numPr>
          <w:ilvl w:val="0"/>
          <w:numId w:val="2"/>
        </w:numPr>
        <w:spacing w:after="80"/>
      </w:pPr>
      <w:r>
        <w:rPr>
          <w:rFonts w:ascii="Calibri" w:cs="Calibri" w:eastAsia="Calibri" w:hAnsi="Calibri"/>
          <w:sz w:val="20"/>
          <w:szCs w:val="20"/>
        </w:rPr>
        <w:t xml:space="preserve">Library-agnostic</w:t>
      </w:r>
    </w:p>
    <w:p>
      <w:pPr>
        <w:pStyle w:val="Heading2"/>
        <w:spacing w:after="120" w:before="280"/>
      </w:pPr>
      <w:r>
        <w:rPr>
          <w:rFonts w:ascii="Calibri" w:cs="Calibri" w:eastAsia="Calibri" w:hAnsi="Calibri"/>
          <w:b/>
          <w:bCs/>
          <w:color w:val="1F3864"/>
          <w:sz w:val="26"/>
          <w:szCs w:val="26"/>
        </w:rPr>
        <w:t xml:space="preserve">3.2  Shared-Storage Model</w:t>
      </w:r>
    </w:p>
    <w:p>
      <w:pPr>
        <w:spacing w:after="120"/>
      </w:pPr>
      <w:r>
        <w:rPr>
          <w:rFonts w:ascii="Calibri" w:cs="Calibri" w:eastAsia="Calibri" w:hAnsi="Calibri"/>
          <w:sz w:val="20"/>
          <w:szCs w:val="20"/>
        </w:rPr>
        <w:t xml:space="preserve">XENA and GRID communicate through shared S3 storage. The architecture intentionally avoids tight synchronous coupling, direct orchestration APIs, and persistent long-running middleware. The shared-storage model provides loose coupling, cross-account interoperability, native AWS scalability, replayability, operational simplicity, and failure isolation.</w:t>
      </w:r>
    </w:p>
    <w:p>
      <w:pPr>
        <w:pStyle w:val="Heading2"/>
        <w:spacing w:after="120" w:before="280"/>
      </w:pPr>
      <w:r>
        <w:rPr>
          <w:rFonts w:ascii="Calibri" w:cs="Calibri" w:eastAsia="Calibri" w:hAnsi="Calibri"/>
          <w:b/>
          <w:bCs/>
          <w:color w:val="1F3864"/>
          <w:sz w:val="26"/>
          <w:szCs w:val="26"/>
        </w:rPr>
        <w:t xml:space="preserve">3.3  Event Minimization</w:t>
      </w:r>
    </w:p>
    <w:p>
      <w:pPr>
        <w:spacing w:after="120"/>
      </w:pPr>
      <w:r>
        <w:rPr>
          <w:rFonts w:ascii="Calibri" w:cs="Calibri" w:eastAsia="Calibri" w:hAnsi="Calibri"/>
          <w:sz w:val="20"/>
          <w:szCs w:val="20"/>
        </w:rPr>
        <w:t xml:space="preserve">XENA OutputHandler only reacts to </w:t>
      </w:r>
    </w:p>
    <w:p>
      <w:pPr>
        <w:spacing w:after="0"/>
      </w:pPr>
    </w:p>
    <w:p>
      <w:pPr>
        <w:pStyle w:val="ListParagraph"/>
        <w:numPr>
          <w:ilvl w:val="0"/>
          <w:numId w:val="2"/>
        </w:numPr>
        <w:spacing w:after="80"/>
      </w:pPr>
      <w:r>
        <w:rPr>
          <w:rFonts w:ascii="Calibri" w:cs="Calibri" w:eastAsia="Calibri" w:hAnsi="Calibri"/>
          <w:sz w:val="20"/>
          <w:szCs w:val="20"/>
        </w:rPr>
        <w:t xml:space="preserve">_progress.json</w:t>
      </w:r>
    </w:p>
    <w:p>
      <w:pPr>
        <w:pStyle w:val="ListParagraph"/>
        <w:numPr>
          <w:ilvl w:val="0"/>
          <w:numId w:val="2"/>
        </w:numPr>
        <w:spacing w:after="80"/>
      </w:pPr>
      <w:r>
        <w:rPr>
          <w:rFonts w:ascii="Calibri" w:cs="Calibri" w:eastAsia="Calibri" w:hAnsi="Calibri"/>
          <w:sz w:val="20"/>
          <w:szCs w:val="20"/>
        </w:rPr>
        <w:t xml:space="preserve">manifest.json</w:t>
      </w:r>
    </w:p>
    <w:p>
      <w:pPr>
        <w:spacing w:after="80"/>
      </w:pPr>
    </w:p>
    <w:p>
      <w:pPr>
        <w:spacing w:after="120"/>
      </w:pPr>
      <w:r>
        <w:rPr>
          <w:rFonts w:ascii="Calibri" w:cs="Calibri" w:eastAsia="Calibri" w:hAnsi="Calibri"/>
          <w:sz w:val="20"/>
          <w:szCs w:val="20"/>
        </w:rPr>
        <w:t xml:space="preserve">This is intentional. Some books may generate thousands of deal outputs. Handling every output object as an orchestration event would create S3 event explosion, excessive Lambda invocations, increased costs, complex idempotency handling, and reduced operational clarity.</w:t>
      </w:r>
    </w:p>
    <w:p>
      <w:pPr>
        <w:pStyle w:val="Heading1"/>
        <w:spacing w:after="200" w:before="360"/>
      </w:pPr>
      <w:r>
        <w:rPr>
          <w:rFonts w:ascii="Calibri" w:cs="Calibri" w:eastAsia="Calibri" w:hAnsi="Calibri"/>
          <w:b/>
          <w:bCs/>
          <w:color w:val="FFFFFF"/>
          <w:sz w:val="32"/>
          <w:szCs w:val="32"/>
        </w:rPr>
        <w:t xml:space="preserve">4. Evaluated Alternatives</w:t>
      </w:r>
    </w:p>
    <w:p>
      <w:pPr>
        <w:spacing w:after="120"/>
      </w:pPr>
      <w:r>
        <w:rPr>
          <w:rFonts w:ascii="Calibri" w:cs="Calibri" w:eastAsia="Calibri" w:hAnsi="Calibri"/>
          <w:sz w:val="20"/>
          <w:szCs w:val="20"/>
        </w:rPr>
        <w:t xml:space="preserve">Four architectural alternatives were evaluated before selecting the final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1800"/>
        <w:gridCol w:w="20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Alternative</w:t>
            </w:r>
          </w:p>
        </w:tc>
        <w:tc>
          <w:tcPr>
            <w:tcW w:type="dxa" w:w="416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Description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Key Problem</w:t>
            </w:r>
          </w:p>
        </w:tc>
        <w:tc>
          <w:tcPr>
            <w:tcW w:type="dxa" w:w="20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Decision</w:t>
            </w:r>
          </w:p>
        </w:tc>
      </w:tr>
      <w:tr>
        <w:tc>
          <w:tcPr>
            <w:tcW w:type="dxa" w:w="14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A – XENA Counts Outputs</w:t>
            </w:r>
          </w:p>
        </w:tc>
        <w:tc>
          <w:tcPr>
            <w:tcW w:type="dxa" w:w="41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OutputHandler processes every deal output written to S3 and counts completed deals per NettingSet.</w:t>
            </w:r>
          </w:p>
        </w:tc>
        <w:tc>
          <w:tcPr>
            <w:tcW w:type="dxa" w:w="18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Event explosion + library coupling violates XENA principles.</w:t>
            </w:r>
          </w:p>
        </w:tc>
        <w:tc>
          <w:tcPr>
            <w:tcW w:type="dxa" w:w="20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C00000"/>
                <w:sz w:val="18"/>
                <w:szCs w:val="18"/>
              </w:rPr>
              <w:t xml:space="preserve">Rejected</w:t>
            </w:r>
          </w:p>
        </w:tc>
      </w:tr>
      <w:tr>
        <w:tc>
          <w:tcPr>
            <w:tcW w:type="dxa" w:w="14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B – S3 Scanning</w:t>
            </w:r>
          </w:p>
        </w:tc>
        <w:tc>
          <w:tcPr>
            <w:tcW w:type="dxa" w:w="41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OutputHandler periodically lists S3 objects and compares actual outputs against expected counts.</w:t>
            </w:r>
          </w:p>
        </w:tc>
        <w:tc>
          <w:tcPr>
            <w:tcW w:type="dxa" w:w="18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Expensive polling-based; delayed detection; high reconciliation complexity.</w:t>
            </w:r>
          </w:p>
        </w:tc>
        <w:tc>
          <w:tcPr>
            <w:tcW w:type="dxa" w:w="20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C00000"/>
                <w:sz w:val="18"/>
                <w:szCs w:val="18"/>
              </w:rPr>
              <w:t xml:space="preserve">Rejected</w:t>
            </w:r>
          </w:p>
        </w:tc>
      </w:tr>
      <w:tr>
        <w:tc>
          <w:tcPr>
            <w:tcW w:type="dxa" w:w="14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C – Dedicated Database</w:t>
            </w:r>
          </w:p>
        </w:tc>
        <w:tc>
          <w:tcPr>
            <w:tcW w:type="dxa" w:w="41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Introduce DynamoDB or DocumentDB to persist execution counters.</w:t>
            </w:r>
          </w:p>
        </w:tc>
        <w:tc>
          <w:tcPr>
            <w:tcW w:type="dxa" w:w="18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Unnecessary infrastructure; Redis already solves this efficiently.</w:t>
            </w:r>
          </w:p>
        </w:tc>
        <w:tc>
          <w:tcPr>
            <w:tcW w:type="dxa" w:w="20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C00000"/>
                <w:sz w:val="18"/>
                <w:szCs w:val="18"/>
              </w:rPr>
              <w:t xml:space="preserve">Rejected (MVP)</w:t>
            </w:r>
          </w:p>
        </w:tc>
      </w:tr>
      <w:tr>
        <w:tc>
          <w:tcPr>
            <w:tcW w:type="dxa" w:w="1400"/>
            <w:tcBorders>
              <w:top w:val="single" w:color="BDC7D8" w:sz="1"/>
              <w:left w:val="single" w:color="BDC7D8" w:sz="1"/>
              <w:bottom w:val="single" w:color="BDC7D8" w:sz="1"/>
              <w:right w:val="single" w:color="BDC7D8" w:sz="1"/>
            </w:tcBorders>
            <w:shd w:fill="D9F2E0"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D – GRID/XDE Aggregation</w:t>
            </w:r>
          </w:p>
        </w:tc>
        <w:tc>
          <w:tcPr>
            <w:tcW w:type="dxa" w:w="4160"/>
            <w:tcBorders>
              <w:top w:val="single" w:color="BDC7D8" w:sz="1"/>
              <w:left w:val="single" w:color="BDC7D8" w:sz="1"/>
              <w:bottom w:val="single" w:color="BDC7D8" w:sz="1"/>
              <w:right w:val="single" w:color="BDC7D8" w:sz="1"/>
            </w:tcBorders>
            <w:shd w:fill="D9F2E0"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GRID/XDE performs deal counting internally using Redis atomic counters and emits the next execution signal when all deals complete.</w:t>
            </w:r>
          </w:p>
        </w:tc>
        <w:tc>
          <w:tcPr>
            <w:tcW w:type="dxa" w:w="1800"/>
            <w:tcBorders>
              <w:top w:val="single" w:color="BDC7D8" w:sz="1"/>
              <w:left w:val="single" w:color="BDC7D8" w:sz="1"/>
              <w:bottom w:val="single" w:color="BDC7D8" w:sz="1"/>
              <w:right w:val="single" w:color="BDC7D8" w:sz="1"/>
            </w:tcBorders>
            <w:shd w:fill="D9F2E0"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None — preserves all XENA principles.</w:t>
            </w:r>
          </w:p>
        </w:tc>
        <w:tc>
          <w:tcPr>
            <w:tcW w:type="dxa" w:w="2000"/>
            <w:tcBorders>
              <w:top w:val="single" w:color="BDC7D8" w:sz="1"/>
              <w:left w:val="single" w:color="BDC7D8" w:sz="1"/>
              <w:bottom w:val="single" w:color="BDC7D8" w:sz="1"/>
              <w:right w:val="single" w:color="BDC7D8" w:sz="1"/>
            </w:tcBorders>
            <w:shd w:fill="D9F2E0" w:val="clear"/>
            <w:tcMar>
              <w:top w:type="dxa" w:w="80"/>
              <w:left w:type="dxa" w:w="160"/>
              <w:bottom w:type="dxa" w:w="80"/>
              <w:right w:type="dxa" w:w="160"/>
            </w:tcMar>
            <w:vAlign w:val="center"/>
          </w:tcPr>
          <w:p>
            <w:r>
              <w:rPr>
                <w:rFonts w:ascii="Calibri" w:cs="Calibri" w:eastAsia="Calibri" w:hAnsi="Calibri"/>
                <w:b/>
                <w:bCs/>
                <w:color w:val="375623"/>
                <w:sz w:val="18"/>
                <w:szCs w:val="18"/>
              </w:rPr>
              <w:t xml:space="preserve">Selected</w:t>
            </w:r>
          </w:p>
        </w:tc>
      </w:tr>
    </w:tbl>
    <w:p>
      <w:pPr>
        <w:spacing w:after="160"/>
      </w:pPr>
    </w:p>
    <w:p>
      <w:pPr>
        <w:pStyle w:val="Heading2"/>
        <w:spacing w:after="120" w:before="280"/>
      </w:pPr>
      <w:r>
        <w:rPr>
          <w:rFonts w:ascii="Calibri" w:cs="Calibri" w:eastAsia="Calibri" w:hAnsi="Calibri"/>
          <w:b/>
          <w:bCs/>
          <w:color w:val="1F3864"/>
          <w:sz w:val="26"/>
          <w:szCs w:val="26"/>
        </w:rPr>
        <w:t xml:space="preserve">4.4  Why Alternative D Was Selected</w:t>
      </w:r>
    </w:p>
    <w:p>
      <w:pPr>
        <w:spacing w:after="120"/>
      </w:pPr>
      <w:r>
        <w:rPr>
          <w:rFonts w:ascii="Calibri" w:cs="Calibri" w:eastAsia="Calibri" w:hAnsi="Calibri"/>
          <w:sz w:val="20"/>
          <w:szCs w:val="20"/>
        </w:rPr>
        <w:t xml:space="preserve">Alternative D was chosen because GRID/XDE already owns deal distribution, NettingSet semantics, and execution lifecycle. Aggregation therefore belongs naturally to GRID, and XENA can remain completely unaware of FMTM-specific orchestration. Additional advantages:</w:t>
      </w:r>
    </w:p>
    <w:p>
      <w:pPr>
        <w:pStyle w:val="ListParagraph"/>
        <w:numPr>
          <w:ilvl w:val="0"/>
          <w:numId w:val="2"/>
        </w:numPr>
        <w:spacing w:after="80"/>
      </w:pPr>
      <w:r>
        <w:rPr>
          <w:rFonts w:ascii="Calibri" w:cs="Calibri" w:eastAsia="Calibri" w:hAnsi="Calibri"/>
          <w:sz w:val="20"/>
          <w:szCs w:val="20"/>
        </w:rPr>
        <w:t xml:space="preserve">No event explosion — OutputHandler continues handling only _progress.json and manifest.json</w:t>
      </w:r>
    </w:p>
    <w:p>
      <w:pPr>
        <w:pStyle w:val="ListParagraph"/>
        <w:numPr>
          <w:ilvl w:val="0"/>
          <w:numId w:val="2"/>
        </w:numPr>
        <w:spacing w:after="80"/>
      </w:pPr>
      <w:r>
        <w:rPr>
          <w:rFonts w:ascii="Calibri" w:cs="Calibri" w:eastAsia="Calibri" w:hAnsi="Calibri"/>
          <w:sz w:val="20"/>
          <w:szCs w:val="20"/>
        </w:rPr>
        <w:t xml:space="preserve">High performance — Redis atomic counters offer low latency and thread-safe distributed updates</w:t>
      </w:r>
    </w:p>
    <w:p>
      <w:pPr>
        <w:pStyle w:val="ListParagraph"/>
        <w:numPr>
          <w:ilvl w:val="0"/>
          <w:numId w:val="2"/>
        </w:numPr>
        <w:spacing w:after="80"/>
      </w:pPr>
      <w:r>
        <w:rPr>
          <w:rFonts w:ascii="Calibri" w:cs="Calibri" w:eastAsia="Calibri" w:hAnsi="Calibri"/>
          <w:sz w:val="20"/>
          <w:szCs w:val="20"/>
        </w:rPr>
        <w:t xml:space="preserve">Clear responsibility separation — domain logic stays inside the domain-owning component</w:t>
      </w:r>
    </w:p>
    <w:p>
      <w:pPr>
        <w:pStyle w:val="Heading1"/>
        <w:spacing w:after="200" w:before="360"/>
      </w:pPr>
      <w:r>
        <w:rPr>
          <w:rFonts w:ascii="Calibri" w:cs="Calibri" w:eastAsia="Calibri" w:hAnsi="Calibri"/>
          <w:b/>
          <w:bCs/>
          <w:color w:val="FFFFFF"/>
          <w:sz w:val="32"/>
          <w:szCs w:val="32"/>
        </w:rPr>
        <w:t xml:space="preserve">5. Final Architecture</w:t>
      </w:r>
    </w:p>
    <w:p>
      <w:pPr>
        <w:pStyle w:val="Heading2"/>
        <w:spacing w:after="120" w:before="280"/>
      </w:pPr>
      <w:r>
        <w:rPr>
          <w:rFonts w:ascii="Calibri" w:cs="Calibri" w:eastAsia="Calibri" w:hAnsi="Calibri"/>
          <w:b/>
          <w:bCs/>
          <w:color w:val="1F3864"/>
          <w:sz w:val="26"/>
          <w:szCs w:val="26"/>
        </w:rPr>
        <w:t xml:space="preserve">5.1  High-Level Flow</w:t>
      </w:r>
    </w:p>
    <w:p>
      <w:pPr>
        <w:shd w:fill="1E2A3A" w:val="clear"/>
        <w:spacing w:after="0" w:before="80"/>
        <w:ind w:left="360" w:right="360"/>
      </w:pPr>
      <w:r>
        <w:rPr>
          <w:rFonts w:ascii="Courier New" w:cs="Courier New" w:eastAsia="Courier New" w:hAnsi="Courier New"/>
          <w:color w:val="D4E6F1"/>
          <w:sz w:val="18"/>
          <w:szCs w:val="18"/>
        </w:rPr>
        <w:t xml:space="preserve">  Data Provisioning</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S3 PutObject</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XENA Input Bucket</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parquet trigger</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XENALoader  ──────────────  Payload enrichment</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SQS GRID Connector Queue</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GRIDConnector</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GRID / XDE</w:t>
      </w:r>
    </w:p>
    <w:p>
      <w:pPr>
        <w:shd w:fill="1E2A3A" w:val="clear"/>
        <w:spacing w:after="0" w:before="0"/>
        <w:ind w:left="360" w:right="360"/>
      </w:pPr>
      <w:r>
        <w:rPr>
          <w:rFonts w:ascii="Courier New" w:cs="Courier New" w:eastAsia="Courier New" w:hAnsi="Courier New"/>
          <w:color w:val="D4E6F1"/>
          <w:sz w:val="18"/>
          <w:szCs w:val="18"/>
        </w:rPr>
        <w:t xml:space="preserve">        │  Parallel Deal Processing</w:t>
      </w:r>
    </w:p>
    <w:p>
      <w:pPr>
        <w:shd w:fill="1E2A3A" w:val="clear"/>
        <w:spacing w:after="0" w:before="0"/>
        <w:ind w:left="360" w:right="360"/>
      </w:pPr>
      <w:r>
        <w:rPr>
          <w:rFonts w:ascii="Courier New" w:cs="Courier New" w:eastAsia="Courier New" w:hAnsi="Courier New"/>
          <w:color w:val="D4E6F1"/>
          <w:sz w:val="18"/>
          <w:szCs w:val="18"/>
        </w:rPr>
        <w:t xml:space="preserve">        │  Redis Atomic Counters</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NettingSet Completion Detection</w:t>
      </w:r>
    </w:p>
    <w:p>
      <w:pPr>
        <w:shd w:fill="1E2A3A" w:val="clear"/>
        <w:spacing w:after="0" w:before="0"/>
        <w:ind w:left="360" w:right="360"/>
      </w:pPr>
      <w:r>
        <w:rPr>
          <w:rFonts w:ascii="Courier New" w:cs="Courier New" w:eastAsia="Courier New" w:hAnsi="Courier New"/>
          <w:color w:val="D4E6F1"/>
          <w:sz w:val="18"/>
          <w:szCs w:val="18"/>
        </w:rPr>
        <w:t xml:space="preserve">        │          └──▶  nettingset_manifest.json</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_progress.json</w:t>
      </w:r>
    </w:p>
    <w:p>
      <w:pPr>
        <w:shd w:fill="1E2A3A" w:val="clear"/>
        <w:spacing w:after="0" w:before="0"/>
        <w:ind w:left="360" w:right="360"/>
      </w:pPr>
      <w:r>
        <w:rPr>
          <w:rFonts w:ascii="Courier New" w:cs="Courier New" w:eastAsia="Courier New" w:hAnsi="Courier New"/>
          <w:color w:val="D4E6F1"/>
          <w:sz w:val="18"/>
          <w:szCs w:val="18"/>
        </w:rPr>
        <w:t xml:space="preserve">        ├──▶  manifest.json</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S3 Output Bucket</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OutputHandler</w:t>
      </w:r>
    </w:p>
    <w:p>
      <w:pPr>
        <w:shd w:fill="1E2A3A" w:val="clear"/>
        <w:spacing w:after="0" w:before="0"/>
        <w:ind w:left="360" w:right="360"/>
      </w:pPr>
      <w:r>
        <w:rPr>
          <w:rFonts w:ascii="Courier New" w:cs="Courier New" w:eastAsia="Courier New" w:hAnsi="Courier New"/>
          <w:color w:val="D4E6F1"/>
          <w:sz w:val="18"/>
          <w:szCs w:val="18"/>
        </w:rPr>
        <w:t xml:space="preserve">        ├──▶  Redis state sync</w:t>
      </w:r>
    </w:p>
    <w:p>
      <w:pPr>
        <w:shd w:fill="1E2A3A" w:val="clear"/>
        <w:spacing w:after="0" w:before="0"/>
        <w:ind w:left="360" w:right="360"/>
      </w:pPr>
      <w:r>
        <w:rPr>
          <w:rFonts w:ascii="Courier New" w:cs="Courier New" w:eastAsia="Courier New" w:hAnsi="Courier New"/>
          <w:color w:val="D4E6F1"/>
          <w:sz w:val="18"/>
          <w:szCs w:val="18"/>
        </w:rPr>
        <w:t xml:space="preserve">        └──▶  GETAFE events</w:t>
      </w:r>
    </w:p>
    <w:p>
      <w:pPr>
        <w:spacing w:after="160"/>
      </w:pPr>
    </w:p>
    <w:p>
      <w:pPr>
        <w:pStyle w:val="Heading2"/>
        <w:spacing w:after="120" w:before="280"/>
      </w:pPr>
      <w:r>
        <w:rPr>
          <w:rFonts w:ascii="Calibri" w:cs="Calibri" w:eastAsia="Calibri" w:hAnsi="Calibri"/>
          <w:b/>
          <w:bCs/>
          <w:color w:val="1F3864"/>
          <w:sz w:val="26"/>
          <w:szCs w:val="26"/>
        </w:rPr>
        <w:t xml:space="preserve">5.2  Responsibility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Component</w:t>
            </w:r>
          </w:p>
        </w:tc>
        <w:tc>
          <w:tcPr>
            <w:tcW w:type="dxa" w:w="716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Responsibility</w:t>
            </w:r>
          </w:p>
        </w:tc>
      </w:tr>
      <w:tr>
        <w:tc>
          <w:tcPr>
            <w:tcW w:type="dxa" w:w="22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XENA</w:t>
            </w:r>
          </w:p>
        </w:tc>
        <w:tc>
          <w:tcPr>
            <w:tcW w:type="dxa" w:w="71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Orchestration and lifecycle management — generic, library-agnostic</w:t>
            </w:r>
          </w:p>
        </w:tc>
      </w:tr>
      <w:tr>
        <w:tc>
          <w:tcPr>
            <w:tcW w:type="dxa" w:w="22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GRID/XDE</w:t>
            </w:r>
          </w:p>
        </w:tc>
        <w:tc>
          <w:tcPr>
            <w:tcW w:type="dxa" w:w="71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Computation, deal execution, NettingSet aggregation, completion signaling</w:t>
            </w:r>
          </w:p>
        </w:tc>
      </w:tr>
      <w:tr>
        <w:tc>
          <w:tcPr>
            <w:tcW w:type="dxa" w:w="22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S3</w:t>
            </w:r>
          </w:p>
        </w:tc>
        <w:tc>
          <w:tcPr>
            <w:tcW w:type="dxa" w:w="71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Shared communication layer — loose coupling, replayable, cross-account</w:t>
            </w:r>
          </w:p>
        </w:tc>
      </w:tr>
      <w:tr>
        <w:tc>
          <w:tcPr>
            <w:tcW w:type="dxa" w:w="22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Redis</w:t>
            </w:r>
          </w:p>
        </w:tc>
        <w:tc>
          <w:tcPr>
            <w:tcW w:type="dxa" w:w="71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Distributed atomic counters for deal aggregation and completion guards</w:t>
            </w:r>
          </w:p>
        </w:tc>
      </w:tr>
    </w:tbl>
    <w:p>
      <w:pPr>
        <w:spacing w:after="160"/>
      </w:pPr>
    </w:p>
    <w:p>
      <w:pPr>
        <w:pStyle w:val="Heading1"/>
        <w:spacing w:after="200" w:before="360"/>
      </w:pPr>
      <w:r>
        <w:rPr>
          <w:rFonts w:ascii="Calibri" w:cs="Calibri" w:eastAsia="Calibri" w:hAnsi="Calibri"/>
          <w:b/>
          <w:bCs/>
          <w:color w:val="FFFFFF"/>
          <w:sz w:val="32"/>
          <w:szCs w:val="32"/>
        </w:rPr>
        <w:t xml:space="preserve">6. Shared-Storage Cross-Account Model</w:t>
      </w:r>
    </w:p>
    <w:p>
      <w:pPr>
        <w:spacing w:after="120"/>
      </w:pPr>
      <w:r>
        <w:rPr>
          <w:rFonts w:ascii="Calibri" w:cs="Calibri" w:eastAsia="Calibri" w:hAnsi="Calibri"/>
          <w:sz w:val="20"/>
          <w:szCs w:val="20"/>
        </w:rPr>
        <w:t xml:space="preserve">The architecture uses a cross-account shared-storage model. GRID accesses the input, output, and error buckets using AWS STS AssumeRole, S3 bucket policies, and least-privilege IAM permissions.</w:t>
      </w:r>
    </w:p>
    <w:p>
      <w:pPr>
        <w:pStyle w:val="Heading2"/>
        <w:spacing w:after="120" w:before="280"/>
      </w:pPr>
      <w:r>
        <w:rPr>
          <w:rFonts w:ascii="Calibri" w:cs="Calibri" w:eastAsia="Calibri" w:hAnsi="Calibri"/>
          <w:b/>
          <w:bCs/>
          <w:color w:val="1F3864"/>
          <w:sz w:val="26"/>
          <w:szCs w:val="26"/>
        </w:rPr>
        <w:t xml:space="preserve">6.1  Example IAM Policy for GRID Cross-Account Access</w:t>
      </w:r>
    </w:p>
    <w:p>
      <w:pPr>
        <w:shd w:fill="1E2A3A" w:val="clear"/>
        <w:spacing w:after="0" w:before="80"/>
        <w:ind w:left="360" w:right="360"/>
      </w:pPr>
      <w:r>
        <w:rPr>
          <w:rFonts w:ascii="Courier New" w:cs="Courier New" w:eastAsia="Courier New" w:hAnsi="Courier New"/>
          <w:color w:val="D4E6F1"/>
          <w:sz w:val="18"/>
          <w:szCs w:val="18"/>
        </w:rPr>
        <w:t xml:space="preserve">{</w:t>
      </w:r>
    </w:p>
    <w:p>
      <w:pPr>
        <w:shd w:fill="1E2A3A" w:val="clear"/>
        <w:spacing w:after="0" w:before="0"/>
        <w:ind w:left="360" w:right="360"/>
      </w:pPr>
      <w:r>
        <w:rPr>
          <w:rFonts w:ascii="Courier New" w:cs="Courier New" w:eastAsia="Courier New" w:hAnsi="Courier New"/>
          <w:color w:val="D4E6F1"/>
          <w:sz w:val="18"/>
          <w:szCs w:val="18"/>
        </w:rPr>
        <w:t xml:space="preserve">  "Effect": "Allow",</w:t>
      </w:r>
    </w:p>
    <w:p>
      <w:pPr>
        <w:shd w:fill="1E2A3A" w:val="clear"/>
        <w:spacing w:after="0" w:before="0"/>
        <w:ind w:left="360" w:right="360"/>
      </w:pPr>
      <w:r>
        <w:rPr>
          <w:rFonts w:ascii="Courier New" w:cs="Courier New" w:eastAsia="Courier New" w:hAnsi="Courier New"/>
          <w:color w:val="D4E6F1"/>
          <w:sz w:val="18"/>
          <w:szCs w:val="18"/>
        </w:rPr>
        <w:t xml:space="preserve">  "Action": [</w:t>
      </w:r>
    </w:p>
    <w:p>
      <w:pPr>
        <w:shd w:fill="1E2A3A" w:val="clear"/>
        <w:spacing w:after="0" w:before="0"/>
        <w:ind w:left="360" w:right="360"/>
      </w:pPr>
      <w:r>
        <w:rPr>
          <w:rFonts w:ascii="Courier New" w:cs="Courier New" w:eastAsia="Courier New" w:hAnsi="Courier New"/>
          <w:color w:val="D4E6F1"/>
          <w:sz w:val="18"/>
          <w:szCs w:val="18"/>
        </w:rPr>
        <w:t xml:space="preserve">    "s3:GetObject",</w:t>
      </w:r>
    </w:p>
    <w:p>
      <w:pPr>
        <w:shd w:fill="1E2A3A" w:val="clear"/>
        <w:spacing w:after="0" w:before="0"/>
        <w:ind w:left="360" w:right="360"/>
      </w:pPr>
      <w:r>
        <w:rPr>
          <w:rFonts w:ascii="Courier New" w:cs="Courier New" w:eastAsia="Courier New" w:hAnsi="Courier New"/>
          <w:color w:val="D4E6F1"/>
          <w:sz w:val="18"/>
          <w:szCs w:val="18"/>
        </w:rPr>
        <w:t xml:space="preserve">    "s3:PutObject"</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"Resource": [</w:t>
      </w:r>
    </w:p>
    <w:p>
      <w:pPr>
        <w:shd w:fill="1E2A3A" w:val="clear"/>
        <w:spacing w:after="0" w:before="0"/>
        <w:ind w:left="360" w:right="360"/>
      </w:pPr>
      <w:r>
        <w:rPr>
          <w:rFonts w:ascii="Courier New" w:cs="Courier New" w:eastAsia="Courier New" w:hAnsi="Courier New"/>
          <w:color w:val="D4E6F1"/>
          <w:sz w:val="18"/>
          <w:szCs w:val="18"/>
        </w:rPr>
        <w:t xml:space="preserve">    "arn:aws:s3:::xena-data-lake-input-pro/*",</w:t>
      </w:r>
    </w:p>
    <w:p>
      <w:pPr>
        <w:shd w:fill="1E2A3A" w:val="clear"/>
        <w:spacing w:after="0" w:before="0"/>
        <w:ind w:left="360" w:right="360"/>
      </w:pPr>
      <w:r>
        <w:rPr>
          <w:rFonts w:ascii="Courier New" w:cs="Courier New" w:eastAsia="Courier New" w:hAnsi="Courier New"/>
          <w:color w:val="D4E6F1"/>
          <w:sz w:val="18"/>
          <w:szCs w:val="18"/>
        </w:rPr>
        <w:t xml:space="preserve">    "arn:aws:s3:::xena-data-lake-output-pro/*"</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w:t>
      </w:r>
    </w:p>
    <w:p>
      <w:pPr>
        <w:spacing w:after="160"/>
      </w:pPr>
    </w:p>
    <w:p>
      <w:pPr>
        <w:pStyle w:val="Heading1"/>
        <w:spacing w:after="200" w:before="360"/>
      </w:pPr>
      <w:r>
        <w:rPr>
          <w:rFonts w:ascii="Calibri" w:cs="Calibri" w:eastAsia="Calibri" w:hAnsi="Calibri"/>
          <w:b/>
          <w:bCs/>
          <w:color w:val="FFFFFF"/>
          <w:sz w:val="32"/>
          <w:szCs w:val="32"/>
        </w:rPr>
        <w:t xml:space="preserve">7. Input Contract</w:t>
      </w:r>
    </w:p>
    <w:p>
      <w:pPr>
        <w:pStyle w:val="Heading2"/>
        <w:spacing w:after="120" w:before="280"/>
      </w:pPr>
      <w:r>
        <w:rPr>
          <w:rFonts w:ascii="Calibri" w:cs="Calibri" w:eastAsia="Calibri" w:hAnsi="Calibri"/>
          <w:b/>
          <w:bCs/>
          <w:color w:val="1F3864"/>
          <w:sz w:val="26"/>
          <w:szCs w:val="26"/>
        </w:rPr>
        <w:t xml:space="preserve">7.1  Input Bucket Structure</w:t>
      </w:r>
    </w:p>
    <w:p>
      <w:pPr>
        <w:shd w:fill="1E2A3A" w:val="clear"/>
        <w:spacing w:after="0" w:before="80"/>
        <w:ind w:left="360" w:right="360"/>
      </w:pPr>
      <w:r>
        <w:rPr>
          <w:rFonts w:ascii="Courier New" w:cs="Courier New" w:eastAsia="Courier New" w:hAnsi="Courier New"/>
          <w:color w:val="D4E6F1"/>
          <w:sz w:val="18"/>
          <w:szCs w:val="18"/>
        </w:rPr>
        <w:t xml:space="preserve">s3://xena-data-lake-input-{env}/</w:t>
      </w:r>
    </w:p>
    <w:p>
      <w:pPr>
        <w:shd w:fill="1E2A3A" w:val="clear"/>
        <w:spacing w:after="0" w:before="0"/>
        <w:ind w:left="360" w:right="360"/>
      </w:pPr>
      <w:r>
        <w:rPr>
          <w:rFonts w:ascii="Courier New" w:cs="Courier New" w:eastAsia="Courier New" w:hAnsi="Courier New"/>
          <w:color w:val="D4E6F1"/>
          <w:sz w:val="18"/>
          <w:szCs w:val="18"/>
        </w:rPr>
        <w:t xml:space="preserve">    {jobType}/</w:t>
      </w:r>
    </w:p>
    <w:p>
      <w:pPr>
        <w:shd w:fill="1E2A3A" w:val="clear"/>
        <w:spacing w:after="0" w:before="0"/>
        <w:ind w:left="360" w:right="360"/>
      </w:pPr>
      <w:r>
        <w:rPr>
          <w:rFonts w:ascii="Courier New" w:cs="Courier New" w:eastAsia="Courier New" w:hAnsi="Courier New"/>
          <w:color w:val="D4E6F1"/>
          <w:sz w:val="18"/>
          <w:szCs w:val="18"/>
        </w:rPr>
        <w:t xml:space="preserve">    {country}/</w:t>
      </w:r>
    </w:p>
    <w:p>
      <w:pPr>
        <w:shd w:fill="1E2A3A" w:val="clear"/>
        <w:spacing w:after="0" w:before="0"/>
        <w:ind w:left="360" w:right="360"/>
      </w:pPr>
      <w:r>
        <w:rPr>
          <w:rFonts w:ascii="Courier New" w:cs="Courier New" w:eastAsia="Courier New" w:hAnsi="Courier New"/>
          <w:color w:val="D4E6F1"/>
          <w:sz w:val="18"/>
          <w:szCs w:val="18"/>
        </w:rPr>
        <w:t xml:space="preserve">    {purpose}/</w:t>
      </w:r>
    </w:p>
    <w:p>
      <w:pPr>
        <w:shd w:fill="1E2A3A" w:val="clear"/>
        <w:spacing w:after="0" w:before="0"/>
        <w:ind w:left="360" w:right="360"/>
      </w:pPr>
      <w:r>
        <w:rPr>
          <w:rFonts w:ascii="Courier New" w:cs="Courier New" w:eastAsia="Courier New" w:hAnsi="Courier New"/>
          <w:color w:val="D4E6F1"/>
          <w:sz w:val="18"/>
          <w:szCs w:val="18"/>
        </w:rPr>
        <w:t xml:space="preserve">    {date}/</w:t>
      </w:r>
    </w:p>
    <w:p>
      <w:pPr>
        <w:shd w:fill="1E2A3A" w:val="clear"/>
        <w:spacing w:after="0" w:before="0"/>
        <w:ind w:left="360" w:right="360"/>
      </w:pPr>
      <w:r>
        <w:rPr>
          <w:rFonts w:ascii="Courier New" w:cs="Courier New" w:eastAsia="Courier New" w:hAnsi="Courier New"/>
          <w:color w:val="D4E6F1"/>
          <w:sz w:val="18"/>
          <w:szCs w:val="18"/>
        </w:rPr>
        <w:t xml:space="preserve">    {subpurpose}/</w:t>
      </w:r>
    </w:p>
    <w:p>
      <w:pPr>
        <w:shd w:fill="1E2A3A" w:val="clear"/>
        <w:spacing w:after="0" w:before="0"/>
        <w:ind w:left="360" w:right="360"/>
      </w:pPr>
      <w:r>
        <w:rPr>
          <w:rFonts w:ascii="Courier New" w:cs="Courier New" w:eastAsia="Courier New" w:hAnsi="Courier New"/>
          <w:color w:val="D4E6F1"/>
          <w:sz w:val="18"/>
          <w:szCs w:val="18"/>
        </w:rPr>
        <w:t xml:space="preserve">    {iteration}/</w:t>
      </w:r>
    </w:p>
    <w:p>
      <w:pPr>
        <w:shd w:fill="1E2A3A" w:val="clear"/>
        <w:spacing w:after="0" w:before="0"/>
        <w:ind w:left="360" w:right="360"/>
      </w:pPr>
      <w:r>
        <w:rPr>
          <w:rFonts w:ascii="Courier New" w:cs="Courier New" w:eastAsia="Courier New" w:hAnsi="Courier New"/>
          <w:color w:val="D4E6F1"/>
          <w:sz w:val="18"/>
          <w:szCs w:val="18"/>
        </w:rPr>
        <w:t xml:space="preserve">    {bookId}/</w:t>
      </w:r>
    </w:p>
    <w:p>
      <w:pPr>
        <w:shd w:fill="1E2A3A" w:val="clear"/>
        <w:spacing w:after="0" w:before="0"/>
        <w:ind w:left="360" w:right="360"/>
      </w:pPr>
      <w:r>
        <w:rPr>
          <w:rFonts w:ascii="Courier New" w:cs="Courier New" w:eastAsia="Courier New" w:hAnsi="Courier New"/>
          <w:color w:val="D4E6F1"/>
          <w:sz w:val="18"/>
          <w:szCs w:val="18"/>
        </w:rPr>
        <w:t xml:space="preserve">        input.parquet</w:t>
      </w:r>
    </w:p>
    <w:p>
      <w:pPr>
        <w:spacing w:after="160"/>
      </w:pPr>
    </w:p>
    <w:p>
      <w:pPr>
        <w:pStyle w:val="Heading2"/>
        <w:spacing w:after="120" w:before="280"/>
      </w:pPr>
      <w:r>
        <w:rPr>
          <w:rFonts w:ascii="Calibri" w:cs="Calibri" w:eastAsia="Calibri" w:hAnsi="Calibri"/>
          <w:b/>
          <w:bCs/>
          <w:color w:val="1F3864"/>
          <w:sz w:val="26"/>
          <w:szCs w:val="26"/>
        </w:rPr>
        <w:t xml:space="preserve">7.2  Concrete Example</w:t>
      </w:r>
    </w:p>
    <w:p>
      <w:pPr>
        <w:shd w:fill="1E2A3A" w:val="clear"/>
        <w:spacing w:after="0" w:before="80"/>
        <w:ind w:left="360" w:right="360"/>
      </w:pPr>
      <w:r>
        <w:rPr>
          <w:rFonts w:ascii="Courier New" w:cs="Courier New" w:eastAsia="Courier New" w:hAnsi="Courier New"/>
          <w:color w:val="D4E6F1"/>
          <w:sz w:val="18"/>
          <w:szCs w:val="18"/>
        </w:rPr>
        <w:t xml:space="preserve">s3://xena-data-lake-input-pro/</w:t>
      </w:r>
    </w:p>
    <w:p>
      <w:pPr>
        <w:shd w:fill="1E2A3A" w:val="clear"/>
        <w:spacing w:after="0" w:before="0"/>
        <w:ind w:left="360" w:right="360"/>
      </w:pPr>
      <w:r>
        <w:rPr>
          <w:rFonts w:ascii="Courier New" w:cs="Courier New" w:eastAsia="Courier New" w:hAnsi="Courier New"/>
          <w:color w:val="D4E6F1"/>
          <w:sz w:val="18"/>
          <w:szCs w:val="18"/>
        </w:rPr>
        <w:t xml:space="preserve">    fmtm/ES/DAILY_BATCH/20260424/testing/1/BOOK001/input.parquet</w:t>
      </w:r>
    </w:p>
    <w:p>
      <w:pPr>
        <w:spacing w:after="160"/>
      </w:pPr>
    </w:p>
    <w:p>
      <w:pPr>
        <w:pStyle w:val="Heading1"/>
        <w:spacing w:after="200" w:before="360"/>
      </w:pPr>
      <w:r>
        <w:rPr>
          <w:rFonts w:ascii="Calibri" w:cs="Calibri" w:eastAsia="Calibri" w:hAnsi="Calibri"/>
          <w:b/>
          <w:bCs/>
          <w:color w:val="FFFFFF"/>
          <w:sz w:val="32"/>
          <w:szCs w:val="32"/>
        </w:rPr>
        <w:t xml:space="preserve">8. NettingSet Metadata Contract</w:t>
      </w:r>
    </w:p>
    <w:p>
      <w:pPr>
        <w:pStyle w:val="Heading2"/>
        <w:spacing w:after="120" w:before="280"/>
      </w:pPr>
      <w:r>
        <w:rPr>
          <w:rFonts w:ascii="Calibri" w:cs="Calibri" w:eastAsia="Calibri" w:hAnsi="Calibri"/>
          <w:b/>
          <w:bCs/>
          <w:color w:val="1F3864"/>
          <w:sz w:val="26"/>
          <w:szCs w:val="26"/>
        </w:rPr>
        <w:t xml:space="preserve">8.1  File Location</w:t>
      </w:r>
    </w:p>
    <w:p>
      <w:pPr>
        <w:spacing w:after="120"/>
      </w:pPr>
      <w:r>
        <w:rPr>
          <w:rFonts w:ascii="Calibri" w:cs="Calibri" w:eastAsia="Calibri" w:hAnsi="Calibri"/>
          <w:sz w:val="20"/>
          <w:szCs w:val="20"/>
        </w:rPr>
        <w:t xml:space="preserve">The NettingSet metadata file is stored alongside the execution contract within the XENA input bucket, at the iteration level:</w:t>
      </w:r>
    </w:p>
    <w:p>
      <w:pPr>
        <w:shd w:fill="1E2A3A" w:val="clear"/>
        <w:spacing w:after="0" w:before="80"/>
        <w:ind w:left="360" w:right="360"/>
      </w:pPr>
      <w:r>
        <w:rPr>
          <w:rFonts w:ascii="Courier New" w:cs="Courier New" w:eastAsia="Courier New" w:hAnsi="Courier New"/>
          <w:color w:val="D4E6F1"/>
          <w:sz w:val="18"/>
          <w:szCs w:val="18"/>
        </w:rPr>
        <w:t xml:space="preserve">s3://xena-data-lake-input-{env}/fmtm/{geography}/</w:t>
      </w:r>
    </w:p>
    <w:p>
      <w:pPr>
        <w:shd w:fill="1E2A3A" w:val="clear"/>
        <w:spacing w:after="0" w:before="0"/>
        <w:ind w:left="360" w:right="360"/>
      </w:pPr>
      <w:r>
        <w:rPr>
          <w:rFonts w:ascii="Courier New" w:cs="Courier New" w:eastAsia="Courier New" w:hAnsi="Courier New"/>
          <w:color w:val="D4E6F1"/>
          <w:sz w:val="18"/>
          <w:szCs w:val="18"/>
        </w:rPr>
        <w:t xml:space="preserve">    {purpose}/{date}/{subPurpose}/{iteration}/</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{bookId}/</w:t>
      </w:r>
    </w:p>
    <w:p>
      <w:pPr>
        <w:shd w:fill="1E2A3A" w:val="clear"/>
        <w:spacing w:after="0" w:before="0"/>
        <w:ind w:left="360" w:right="360"/>
      </w:pPr>
      <w:r>
        <w:rPr>
          <w:rFonts w:ascii="Courier New" w:cs="Courier New" w:eastAsia="Courier New" w:hAnsi="Courier New"/>
          <w:color w:val="D4E6F1"/>
          <w:sz w:val="18"/>
          <w:szCs w:val="18"/>
        </w:rPr>
        <w:t xml:space="preserve">    │     └── input.parquet</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nettingsets.csv</w:t>
      </w:r>
    </w:p>
    <w:p>
      <w:pPr>
        <w:spacing w:after="160"/>
      </w:pPr>
    </w:p>
    <w:p>
      <w:pPr>
        <w:pStyle w:val="Heading2"/>
        <w:spacing w:after="120" w:before="280"/>
      </w:pPr>
      <w:r>
        <w:rPr>
          <w:rFonts w:ascii="Calibri" w:cs="Calibri" w:eastAsia="Calibri" w:hAnsi="Calibri"/>
          <w:b/>
          <w:bCs/>
          <w:color w:val="1F3864"/>
          <w:sz w:val="26"/>
          <w:szCs w:val="26"/>
        </w:rPr>
        <w:t xml:space="preserve">8.2  Design Decision — Single Shared CSV File</w:t>
      </w:r>
    </w:p>
    <w:p>
      <w:pPr>
        <w:spacing w:after="120"/>
      </w:pPr>
      <w:r>
        <w:rPr>
          <w:rFonts w:ascii="Calibri" w:cs="Calibri" w:eastAsia="Calibri" w:hAnsi="Calibri"/>
          <w:sz w:val="20"/>
          <w:szCs w:val="20"/>
        </w:rPr>
        <w:t xml:space="preserve">A single nettingsets.csv file per execution iteration is used rather than one file per NettingSet folder. Key reasons:</w:t>
      </w:r>
    </w:p>
    <w:p>
      <w:pPr>
        <w:pStyle w:val="ListParagraph"/>
        <w:numPr>
          <w:ilvl w:val="0"/>
          <w:numId w:val="2"/>
        </w:numPr>
        <w:spacing w:after="80"/>
      </w:pPr>
      <w:r>
        <w:rPr>
          <w:rFonts w:ascii="Calibri" w:cs="Calibri" w:eastAsia="Calibri" w:hAnsi="Calibri"/>
          <w:sz w:val="20"/>
          <w:szCs w:val="20"/>
        </w:rPr>
        <w:t xml:space="preserve">Reduced S3 object explosion — avoids thousands of small metadata objects and excessive PUT operations</w:t>
      </w:r>
    </w:p>
    <w:p>
      <w:pPr>
        <w:pStyle w:val="ListParagraph"/>
        <w:numPr>
          <w:ilvl w:val="0"/>
          <w:numId w:val="2"/>
        </w:numPr>
        <w:spacing w:after="80"/>
      </w:pPr>
      <w:r>
        <w:rPr>
          <w:rFonts w:ascii="Calibri" w:cs="Calibri" w:eastAsia="Calibri" w:hAnsi="Calibri"/>
          <w:sz w:val="20"/>
          <w:szCs w:val="20"/>
        </w:rPr>
        <w:t xml:space="preserve">Simplified discovery — GRID/XDE infers the location deterministically from the inputFile path; no additional payload fields or dynamic APIs required</w:t>
      </w:r>
    </w:p>
    <w:p>
      <w:pPr>
        <w:pStyle w:val="ListParagraph"/>
        <w:numPr>
          <w:ilvl w:val="0"/>
          <w:numId w:val="2"/>
        </w:numPr>
        <w:spacing w:after="80"/>
      </w:pPr>
      <w:r>
        <w:rPr>
          <w:rFonts w:ascii="Calibri" w:cs="Calibri" w:eastAsia="Calibri" w:hAnsi="Calibri"/>
          <w:sz w:val="20"/>
          <w:szCs w:val="20"/>
        </w:rPr>
        <w:t xml:space="preserve">Preserves XENA genericity — XENALoader does not inject the nettingsets.csv path into the enriched payload; GRID/XDE derives it from the inputFile field</w:t>
      </w:r>
    </w:p>
    <w:p>
      <w:pPr>
        <w:pStyle w:val="Heading2"/>
        <w:spacing w:after="120" w:before="280"/>
      </w:pPr>
      <w:r>
        <w:rPr>
          <w:rFonts w:ascii="Calibri" w:cs="Calibri" w:eastAsia="Calibri" w:hAnsi="Calibri"/>
          <w:b/>
          <w:bCs/>
          <w:color w:val="1F3864"/>
          <w:sz w:val="26"/>
          <w:szCs w:val="26"/>
        </w:rPr>
        <w:t xml:space="preserve">8.3  CSV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Type</w:t>
            </w:r>
          </w:p>
        </w:tc>
        <w:tc>
          <w:tcPr>
            <w:tcW w:type="dxa" w:w="496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Description</w:t>
            </w:r>
          </w:p>
        </w:tc>
      </w:tr>
      <w:tr>
        <w:tc>
          <w:tcPr>
            <w:tcW w:type="dxa" w:w="22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tcPr>
          <w:p>
            <w:r>
              <w:rPr>
                <w:rFonts w:ascii="Courier New" w:cs="Courier New" w:eastAsia="Courier New" w:hAnsi="Courier New"/>
                <w:sz w:val="18"/>
                <w:szCs w:val="18"/>
              </w:rPr>
              <w:t xml:space="preserve">total_deals</w:t>
            </w:r>
          </w:p>
        </w:tc>
        <w:tc>
          <w:tcPr>
            <w:tcW w:type="dxa" w:w="22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Integer</w:t>
            </w:r>
          </w:p>
        </w:tc>
        <w:tc>
          <w:tcPr>
            <w:tcW w:type="dxa" w:w="49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Expected number of deals for the NettingSet</w:t>
            </w:r>
          </w:p>
        </w:tc>
      </w:tr>
      <w:tr>
        <w:tc>
          <w:tcPr>
            <w:tcW w:type="dxa" w:w="22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tcPr>
          <w:p>
            <w:r>
              <w:rPr>
                <w:rFonts w:ascii="Courier New" w:cs="Courier New" w:eastAsia="Courier New" w:hAnsi="Courier New"/>
                <w:sz w:val="18"/>
                <w:szCs w:val="18"/>
              </w:rPr>
              <w:t xml:space="preserve">collateralagreement</w:t>
            </w:r>
          </w:p>
        </w:tc>
        <w:tc>
          <w:tcPr>
            <w:tcW w:type="dxa" w:w="22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String</w:t>
            </w:r>
          </w:p>
        </w:tc>
        <w:tc>
          <w:tcPr>
            <w:tcW w:type="dxa" w:w="49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CSA / Collateral agreement identifier</w:t>
            </w:r>
          </w:p>
        </w:tc>
      </w:tr>
      <w:tr>
        <w:tc>
          <w:tcPr>
            <w:tcW w:type="dxa" w:w="22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tcPr>
          <w:p>
            <w:r>
              <w:rPr>
                <w:rFonts w:ascii="Courier New" w:cs="Courier New" w:eastAsia="Courier New" w:hAnsi="Courier New"/>
                <w:sz w:val="18"/>
                <w:szCs w:val="18"/>
              </w:rPr>
              <w:t xml:space="preserve">nettingagreement</w:t>
            </w:r>
          </w:p>
        </w:tc>
        <w:tc>
          <w:tcPr>
            <w:tcW w:type="dxa" w:w="22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String</w:t>
            </w:r>
          </w:p>
        </w:tc>
        <w:tc>
          <w:tcPr>
            <w:tcW w:type="dxa" w:w="49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NettingSet identifier</w:t>
            </w:r>
          </w:p>
        </w:tc>
      </w:tr>
    </w:tbl>
    <w:p>
      <w:pPr>
        <w:spacing w:after="120"/>
      </w:pPr>
    </w:p>
    <w:p>
      <w:pPr>
        <w:spacing w:after="120"/>
      </w:pPr>
      <w:r>
        <w:rPr>
          <w:rFonts w:ascii="Calibri" w:cs="Calibri" w:eastAsia="Calibri" w:hAnsi="Calibri"/>
          <w:sz w:val="20"/>
          <w:szCs w:val="20"/>
        </w:rPr>
        <w:t xml:space="preserve">Example CSV content:</w:t>
      </w:r>
    </w:p>
    <w:p>
      <w:pPr>
        <w:shd w:fill="1E2A3A" w:val="clear"/>
        <w:spacing w:after="0" w:before="80"/>
        <w:ind w:left="360" w:right="360"/>
      </w:pPr>
      <w:r>
        <w:rPr>
          <w:rFonts w:ascii="Courier New" w:cs="Courier New" w:eastAsia="Courier New" w:hAnsi="Courier New"/>
          <w:color w:val="D4E6F1"/>
          <w:sz w:val="18"/>
          <w:szCs w:val="18"/>
        </w:rPr>
        <w:t xml:space="preserve">total_deals,collateralagreement,nettingagreement</w:t>
      </w:r>
    </w:p>
    <w:p>
      <w:pPr>
        <w:shd w:fill="1E2A3A" w:val="clear"/>
        <w:spacing w:after="0" w:before="0"/>
        <w:ind w:left="360" w:right="360"/>
      </w:pPr>
      <w:r>
        <w:rPr>
          <w:rFonts w:ascii="Courier New" w:cs="Courier New" w:eastAsia="Courier New" w:hAnsi="Courier New"/>
          <w:color w:val="D4E6F1"/>
          <w:sz w:val="18"/>
          <w:szCs w:val="18"/>
        </w:rPr>
        <w:t xml:space="preserve">1500,CSA001,NETTING001</w:t>
      </w:r>
    </w:p>
    <w:p>
      <w:pPr>
        <w:shd w:fill="1E2A3A" w:val="clear"/>
        <w:spacing w:after="0" w:before="0"/>
        <w:ind w:left="360" w:right="360"/>
      </w:pPr>
      <w:r>
        <w:rPr>
          <w:rFonts w:ascii="Courier New" w:cs="Courier New" w:eastAsia="Courier New" w:hAnsi="Courier New"/>
          <w:color w:val="D4E6F1"/>
          <w:sz w:val="18"/>
          <w:szCs w:val="18"/>
        </w:rPr>
        <w:t xml:space="preserve">3200,CSA002,NETTING002</w:t>
      </w:r>
    </w:p>
    <w:p>
      <w:pPr>
        <w:spacing w:after="160"/>
      </w:pPr>
    </w:p>
    <w:p>
      <w:pPr>
        <w:pStyle w:val="Heading2"/>
        <w:spacing w:after="120" w:before="280"/>
      </w:pPr>
      <w:r>
        <w:rPr>
          <w:rFonts w:ascii="Calibri" w:cs="Calibri" w:eastAsia="Calibri" w:hAnsi="Calibri"/>
          <w:b/>
          <w:bCs/>
          <w:color w:val="1F3864"/>
          <w:sz w:val="26"/>
          <w:szCs w:val="26"/>
        </w:rPr>
        <w:t xml:space="preserve">8.4  Missing File Handling</w:t>
      </w:r>
    </w:p>
    <w:p>
      <w:pPr>
        <w:spacing w:after="120"/>
      </w:pPr>
      <w:r>
        <w:rPr>
          <w:rFonts w:ascii="Calibri" w:cs="Calibri" w:eastAsia="Calibri" w:hAnsi="Calibri"/>
          <w:sz w:val="20"/>
          <w:szCs w:val="20"/>
        </w:rPr>
        <w:t xml:space="preserve">The nettingsets.csv file is mandatory for FMTM processing. If the file is missing, GRID/XDE stops execution, writes an error report to the XENA error bucket, and sets the execution status to FAILED. This validation belongs to GRID/XDE because the file is FMTM-specific and XENA must remain library-agnostic.</w:t>
      </w:r>
    </w:p>
    <w:p>
      <w:pPr>
        <w:shd w:fill="1E2A3A" w:val="clear"/>
        <w:spacing w:after="0" w:before="80"/>
        <w:ind w:left="360" w:right="360"/>
      </w:pPr>
      <w:r>
        <w:rPr>
          <w:rFonts w:ascii="Courier New" w:cs="Courier New" w:eastAsia="Courier New" w:hAnsi="Courier New"/>
          <w:color w:val="D4E6F1"/>
          <w:sz w:val="18"/>
          <w:szCs w:val="18"/>
        </w:rPr>
        <w:t xml:space="preserve">// Error written to:</w:t>
      </w:r>
    </w:p>
    <w:p>
      <w:pPr>
        <w:shd w:fill="1E2A3A" w:val="clear"/>
        <w:spacing w:after="0" w:before="0"/>
        <w:ind w:left="360" w:right="360"/>
      </w:pPr>
      <w:r>
        <w:rPr>
          <w:rFonts w:ascii="Courier New" w:cs="Courier New" w:eastAsia="Courier New" w:hAnsi="Courier New"/>
          <w:color w:val="D4E6F1"/>
          <w:sz w:val="18"/>
          <w:szCs w:val="18"/>
        </w:rPr>
        <w:t xml:space="preserve">// s3://xena-data-lake-errors-{env}/fmtm/.../nettingsets_missing_error.json</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w:t>
      </w:r>
    </w:p>
    <w:p>
      <w:pPr>
        <w:shd w:fill="1E2A3A" w:val="clear"/>
        <w:spacing w:after="0" w:before="0"/>
        <w:ind w:left="360" w:right="360"/>
      </w:pPr>
      <w:r>
        <w:rPr>
          <w:rFonts w:ascii="Courier New" w:cs="Courier New" w:eastAsia="Courier New" w:hAnsi="Courier New"/>
          <w:color w:val="D4E6F1"/>
          <w:sz w:val="18"/>
          <w:szCs w:val="18"/>
        </w:rPr>
        <w:t xml:space="preserve">  "jobId":     "JOB-001",</w:t>
      </w:r>
    </w:p>
    <w:p>
      <w:pPr>
        <w:shd w:fill="1E2A3A" w:val="clear"/>
        <w:spacing w:after="0" w:before="0"/>
        <w:ind w:left="360" w:right="360"/>
      </w:pPr>
      <w:r>
        <w:rPr>
          <w:rFonts w:ascii="Courier New" w:cs="Courier New" w:eastAsia="Courier New" w:hAnsi="Courier New"/>
          <w:color w:val="D4E6F1"/>
          <w:sz w:val="18"/>
          <w:szCs w:val="18"/>
        </w:rPr>
        <w:t xml:space="preserve">  "status":    "FAILED",</w:t>
      </w:r>
    </w:p>
    <w:p>
      <w:pPr>
        <w:shd w:fill="1E2A3A" w:val="clear"/>
        <w:spacing w:after="0" w:before="0"/>
        <w:ind w:left="360" w:right="360"/>
      </w:pPr>
      <w:r>
        <w:rPr>
          <w:rFonts w:ascii="Courier New" w:cs="Courier New" w:eastAsia="Courier New" w:hAnsi="Courier New"/>
          <w:color w:val="D4E6F1"/>
          <w:sz w:val="18"/>
          <w:szCs w:val="18"/>
        </w:rPr>
        <w:t xml:space="preserve">  "errorType": "NETTINGSET_METADATA_NOT_FOUND",</w:t>
      </w:r>
    </w:p>
    <w:p>
      <w:pPr>
        <w:shd w:fill="1E2A3A" w:val="clear"/>
        <w:spacing w:after="0" w:before="0"/>
        <w:ind w:left="360" w:right="360"/>
      </w:pPr>
      <w:r>
        <w:rPr>
          <w:rFonts w:ascii="Courier New" w:cs="Courier New" w:eastAsia="Courier New" w:hAnsi="Courier New"/>
          <w:color w:val="D4E6F1"/>
          <w:sz w:val="18"/>
          <w:szCs w:val="18"/>
        </w:rPr>
        <w:t xml:space="preserve">  "message":   "Required nettingsets.csv file was not found",</w:t>
      </w:r>
    </w:p>
    <w:p>
      <w:pPr>
        <w:shd w:fill="1E2A3A" w:val="clear"/>
        <w:spacing w:after="0" w:before="0"/>
        <w:ind w:left="360" w:right="360"/>
      </w:pPr>
      <w:r>
        <w:rPr>
          <w:rFonts w:ascii="Courier New" w:cs="Courier New" w:eastAsia="Courier New" w:hAnsi="Courier New"/>
          <w:color w:val="D4E6F1"/>
          <w:sz w:val="18"/>
          <w:szCs w:val="18"/>
        </w:rPr>
        <w:t xml:space="preserve">  "inputFile": "s3://xena-data-lake-input-pro/.../input.parquet",</w:t>
      </w:r>
    </w:p>
    <w:p>
      <w:pPr>
        <w:shd w:fill="1E2A3A" w:val="clear"/>
        <w:spacing w:after="0" w:before="0"/>
        <w:ind w:left="360" w:right="360"/>
      </w:pPr>
      <w:r>
        <w:rPr>
          <w:rFonts w:ascii="Courier New" w:cs="Courier New" w:eastAsia="Courier New" w:hAnsi="Courier New"/>
          <w:color w:val="D4E6F1"/>
          <w:sz w:val="18"/>
          <w:szCs w:val="18"/>
        </w:rPr>
        <w:t xml:space="preserve">  "timestamp": "2026-05-21T10:15:00Z"</w:t>
      </w:r>
    </w:p>
    <w:p>
      <w:pPr>
        <w:shd w:fill="1E2A3A" w:val="clear"/>
        <w:spacing w:after="0" w:before="0"/>
        <w:ind w:left="360" w:right="360"/>
      </w:pPr>
      <w:r>
        <w:rPr>
          <w:rFonts w:ascii="Courier New" w:cs="Courier New" w:eastAsia="Courier New" w:hAnsi="Courier New"/>
          <w:color w:val="D4E6F1"/>
          <w:sz w:val="18"/>
          <w:szCs w:val="18"/>
        </w:rPr>
        <w:t xml:space="preserve">}</w:t>
      </w:r>
    </w:p>
    <w:p>
      <w:pPr>
        <w:spacing w:after="160"/>
      </w:pPr>
    </w:p>
    <w:p>
      <w:pPr>
        <w:pStyle w:val="Heading1"/>
        <w:spacing w:after="200" w:before="360"/>
      </w:pPr>
      <w:r>
        <w:rPr>
          <w:rFonts w:ascii="Calibri" w:cs="Calibri" w:eastAsia="Calibri" w:hAnsi="Calibri"/>
          <w:b/>
          <w:bCs/>
          <w:color w:val="FFFFFF"/>
          <w:sz w:val="32"/>
          <w:szCs w:val="32"/>
        </w:rPr>
        <w:t xml:space="preserve">9. Output Bucket Structure</w:t>
      </w:r>
    </w:p>
    <w:p>
      <w:pPr>
        <w:spacing w:after="120"/>
      </w:pPr>
      <w:r>
        <w:rPr>
          <w:rFonts w:ascii="Calibri" w:cs="Calibri" w:eastAsia="Calibri" w:hAnsi="Calibri"/>
          <w:sz w:val="20"/>
          <w:szCs w:val="20"/>
        </w:rPr>
        <w:t xml:space="preserve">FMTM execution generates two categories of output artifacts: generic execution tracking artifacts (_progress.json, manifest.json) and FMTM-specific NettingSet completion artifacts (nettingset_manifest.json).</w:t>
      </w:r>
    </w:p>
    <w:p>
      <w:pPr>
        <w:pStyle w:val="Heading2"/>
        <w:spacing w:after="120" w:before="280"/>
      </w:pPr>
      <w:r>
        <w:rPr>
          <w:rFonts w:ascii="Calibri" w:cs="Calibri" w:eastAsia="Calibri" w:hAnsi="Calibri"/>
          <w:b/>
          <w:bCs/>
          <w:color w:val="1F3864"/>
          <w:sz w:val="26"/>
          <w:szCs w:val="26"/>
        </w:rPr>
        <w:t xml:space="preserve">9.1  Bucket Layout</w:t>
      </w:r>
    </w:p>
    <w:p>
      <w:pPr>
        <w:shd w:fill="1E2A3A" w:val="clear"/>
        <w:spacing w:after="0" w:before="80"/>
        <w:ind w:left="360" w:right="360"/>
      </w:pPr>
      <w:r>
        <w:rPr>
          <w:rFonts w:ascii="Courier New" w:cs="Courier New" w:eastAsia="Courier New" w:hAnsi="Courier New"/>
          <w:color w:val="D4E6F1"/>
          <w:sz w:val="18"/>
          <w:szCs w:val="18"/>
        </w:rPr>
        <w:t xml:space="preserve">s3://xena-data-lake-output-{env}/fmtm/{geography}/</w:t>
      </w:r>
    </w:p>
    <w:p>
      <w:pPr>
        <w:shd w:fill="1E2A3A" w:val="clear"/>
        <w:spacing w:after="0" w:before="0"/>
        <w:ind w:left="360" w:right="360"/>
      </w:pPr>
      <w:r>
        <w:rPr>
          <w:rFonts w:ascii="Courier New" w:cs="Courier New" w:eastAsia="Courier New" w:hAnsi="Courier New"/>
          <w:color w:val="D4E6F1"/>
          <w:sz w:val="18"/>
          <w:szCs w:val="18"/>
        </w:rPr>
        <w:t xml:space="preserve">    {purpose}/{date}/{subPurpose}/{iteration}/</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{bookId}/</w:t>
      </w:r>
    </w:p>
    <w:p>
      <w:pPr>
        <w:shd w:fill="1E2A3A" w:val="clear"/>
        <w:spacing w:after="0" w:before="0"/>
        <w:ind w:left="360" w:right="360"/>
      </w:pPr>
      <w:r>
        <w:rPr>
          <w:rFonts w:ascii="Courier New" w:cs="Courier New" w:eastAsia="Courier New" w:hAnsi="Courier New"/>
          <w:color w:val="D4E6F1"/>
          <w:sz w:val="18"/>
          <w:szCs w:val="18"/>
        </w:rPr>
        <w:t xml:space="preserve">    │     ├── _progress.json          # Generic — XENA tracks this</w:t>
      </w:r>
    </w:p>
    <w:p>
      <w:pPr>
        <w:shd w:fill="1E2A3A" w:val="clear"/>
        <w:spacing w:after="0" w:before="0"/>
        <w:ind w:left="360" w:right="360"/>
      </w:pPr>
      <w:r>
        <w:rPr>
          <w:rFonts w:ascii="Courier New" w:cs="Courier New" w:eastAsia="Courier New" w:hAnsi="Courier New"/>
          <w:color w:val="D4E6F1"/>
          <w:sz w:val="18"/>
          <w:szCs w:val="18"/>
        </w:rPr>
        <w:t xml:space="preserve">    │     └── manifest.json           # Generic — XENA tracks this</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netting_set001/CSA001/</w:t>
      </w:r>
    </w:p>
    <w:p>
      <w:pPr>
        <w:shd w:fill="1E2A3A" w:val="clear"/>
        <w:spacing w:after="0" w:before="0"/>
        <w:ind w:left="360" w:right="360"/>
      </w:pPr>
      <w:r>
        <w:rPr>
          <w:rFonts w:ascii="Courier New" w:cs="Courier New" w:eastAsia="Courier New" w:hAnsi="Courier New"/>
          <w:color w:val="D4E6F1"/>
          <w:sz w:val="18"/>
          <w:szCs w:val="18"/>
        </w:rPr>
        <w:t xml:space="preserve">    │     ├── nettingset_manifest.json   # FMTM-specific — GRID writes this</w:t>
      </w:r>
    </w:p>
    <w:p>
      <w:pPr>
        <w:shd w:fill="1E2A3A" w:val="clear"/>
        <w:spacing w:after="0" w:before="0"/>
        <w:ind w:left="360" w:right="360"/>
      </w:pPr>
      <w:r>
        <w:rPr>
          <w:rFonts w:ascii="Courier New" w:cs="Courier New" w:eastAsia="Courier New" w:hAnsi="Courier New"/>
          <w:color w:val="D4E6F1"/>
          <w:sz w:val="18"/>
          <w:szCs w:val="18"/>
        </w:rPr>
        <w:t xml:space="preserve">    │     ├── deal_0001.parquet</w:t>
      </w:r>
    </w:p>
    <w:p>
      <w:pPr>
        <w:shd w:fill="1E2A3A" w:val="clear"/>
        <w:spacing w:after="0" w:before="0"/>
        <w:ind w:left="360" w:right="360"/>
      </w:pPr>
      <w:r>
        <w:rPr>
          <w:rFonts w:ascii="Courier New" w:cs="Courier New" w:eastAsia="Courier New" w:hAnsi="Courier New"/>
          <w:color w:val="D4E6F1"/>
          <w:sz w:val="18"/>
          <w:szCs w:val="18"/>
        </w:rPr>
        <w:t xml:space="preserve">    │     ├── deal_0002.parquet</w:t>
      </w:r>
    </w:p>
    <w:p>
      <w:pPr>
        <w:shd w:fill="1E2A3A" w:val="clear"/>
        <w:spacing w:after="0" w:before="0"/>
        <w:ind w:left="360" w:right="360"/>
      </w:pPr>
      <w:r>
        <w:rPr>
          <w:rFonts w:ascii="Courier New" w:cs="Courier New" w:eastAsia="Courier New" w:hAnsi="Courier New"/>
          <w:color w:val="D4E6F1"/>
          <w:sz w:val="18"/>
          <w:szCs w:val="18"/>
        </w:rPr>
        <w:t xml:space="preserve">    │     └──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netting_set00N/CSA00M/</w:t>
      </w:r>
    </w:p>
    <w:p>
      <w:pPr>
        <w:shd w:fill="1E2A3A" w:val="clear"/>
        <w:spacing w:after="0" w:before="0"/>
        <w:ind w:left="360" w:right="360"/>
      </w:pPr>
      <w:r>
        <w:rPr>
          <w:rFonts w:ascii="Courier New" w:cs="Courier New" w:eastAsia="Courier New" w:hAnsi="Courier New"/>
          <w:color w:val="D4E6F1"/>
          <w:sz w:val="18"/>
          <w:szCs w:val="18"/>
        </w:rPr>
        <w:t xml:space="preserve">          ├── nettingset_manifest.json</w:t>
      </w:r>
    </w:p>
    <w:p>
      <w:pPr>
        <w:shd w:fill="1E2A3A" w:val="clear"/>
        <w:spacing w:after="0" w:before="0"/>
        <w:ind w:left="360" w:right="360"/>
      </w:pPr>
      <w:r>
        <w:rPr>
          <w:rFonts w:ascii="Courier New" w:cs="Courier New" w:eastAsia="Courier New" w:hAnsi="Courier New"/>
          <w:color w:val="D4E6F1"/>
          <w:sz w:val="18"/>
          <w:szCs w:val="18"/>
        </w:rPr>
        <w:t xml:space="preserve">          └── deal_NNNNN.parquet</w:t>
      </w:r>
    </w:p>
    <w:p>
      <w:pPr>
        <w:spacing w:after="160"/>
      </w:pPr>
    </w:p>
    <w:p>
      <w:pPr>
        <w:pStyle w:val="Heading2"/>
        <w:spacing w:after="120" w:before="280"/>
      </w:pPr>
      <w:r>
        <w:rPr>
          <w:rFonts w:ascii="Calibri" w:cs="Calibri" w:eastAsia="Calibri" w:hAnsi="Calibri"/>
          <w:b/>
          <w:bCs/>
          <w:color w:val="1F3864"/>
          <w:sz w:val="26"/>
          <w:szCs w:val="26"/>
        </w:rPr>
        <w:t xml:space="preserve">9.2  nettingset_manifest.json Structure</w:t>
      </w:r>
    </w:p>
    <w:p>
      <w:pPr>
        <w:spacing w:after="120"/>
      </w:pPr>
      <w:r>
        <w:rPr>
          <w:rFonts w:ascii="Calibri" w:cs="Calibri" w:eastAsia="Calibri" w:hAnsi="Calibri"/>
          <w:sz w:val="20"/>
          <w:szCs w:val="20"/>
        </w:rPr>
        <w:t xml:space="preserve">The nettingset_manifest.json file signals that all expected deals for a NettingSet completed, aggregation counters reached expected totals, and the NettingSet execution stage finished successfully.</w:t>
      </w:r>
    </w:p>
    <w:p>
      <w:pPr>
        <w:shd w:fill="1E2A3A" w:val="clear"/>
        <w:spacing w:after="0" w:before="80"/>
        <w:ind w:left="360" w:right="360"/>
      </w:pPr>
      <w:r>
        <w:rPr>
          <w:rFonts w:ascii="Courier New" w:cs="Courier New" w:eastAsia="Courier New" w:hAnsi="Courier New"/>
          <w:color w:val="D4E6F1"/>
          <w:sz w:val="18"/>
          <w:szCs w:val="18"/>
        </w:rPr>
        <w:t xml:space="preserve">{</w:t>
      </w:r>
    </w:p>
    <w:p>
      <w:pPr>
        <w:shd w:fill="1E2A3A" w:val="clear"/>
        <w:spacing w:after="0" w:before="0"/>
        <w:ind w:left="360" w:right="360"/>
      </w:pPr>
      <w:r>
        <w:rPr>
          <w:rFonts w:ascii="Courier New" w:cs="Courier New" w:eastAsia="Courier New" w:hAnsi="Courier New"/>
          <w:color w:val="D4E6F1"/>
          <w:sz w:val="18"/>
          <w:szCs w:val="18"/>
        </w:rPr>
        <w:t xml:space="preserve">  "jobId":               "JOB-001",</w:t>
      </w:r>
    </w:p>
    <w:p>
      <w:pPr>
        <w:shd w:fill="1E2A3A" w:val="clear"/>
        <w:spacing w:after="0" w:before="0"/>
        <w:ind w:left="360" w:right="360"/>
      </w:pPr>
      <w:r>
        <w:rPr>
          <w:rFonts w:ascii="Courier New" w:cs="Courier New" w:eastAsia="Courier New" w:hAnsi="Courier New"/>
          <w:color w:val="D4E6F1"/>
          <w:sz w:val="18"/>
          <w:szCs w:val="18"/>
        </w:rPr>
        <w:t xml:space="preserve">  "jobType":             "fmtm",</w:t>
      </w:r>
    </w:p>
    <w:p>
      <w:pPr>
        <w:shd w:fill="1E2A3A" w:val="clear"/>
        <w:spacing w:after="0" w:before="0"/>
        <w:ind w:left="360" w:right="360"/>
      </w:pPr>
      <w:r>
        <w:rPr>
          <w:rFonts w:ascii="Courier New" w:cs="Courier New" w:eastAsia="Courier New" w:hAnsi="Courier New"/>
          <w:color w:val="D4E6F1"/>
          <w:sz w:val="18"/>
          <w:szCs w:val="18"/>
        </w:rPr>
        <w:t xml:space="preserve">  "bookId":              "BOOK001",</w:t>
      </w:r>
    </w:p>
    <w:p>
      <w:pPr>
        <w:shd w:fill="1E2A3A" w:val="clear"/>
        <w:spacing w:after="0" w:before="0"/>
        <w:ind w:left="360" w:right="360"/>
      </w:pPr>
      <w:r>
        <w:rPr>
          <w:rFonts w:ascii="Courier New" w:cs="Courier New" w:eastAsia="Courier New" w:hAnsi="Courier New"/>
          <w:color w:val="D4E6F1"/>
          <w:sz w:val="18"/>
          <w:szCs w:val="18"/>
        </w:rPr>
        <w:t xml:space="preserve">  "nettingSet":          "NETTING001",</w:t>
      </w:r>
    </w:p>
    <w:p>
      <w:pPr>
        <w:shd w:fill="1E2A3A" w:val="clear"/>
        <w:spacing w:after="0" w:before="0"/>
        <w:ind w:left="360" w:right="360"/>
      </w:pPr>
      <w:r>
        <w:rPr>
          <w:rFonts w:ascii="Courier New" w:cs="Courier New" w:eastAsia="Courier New" w:hAnsi="Courier New"/>
          <w:color w:val="D4E6F1"/>
          <w:sz w:val="18"/>
          <w:szCs w:val="18"/>
        </w:rPr>
        <w:t xml:space="preserve">  "collateralAgreement": "CSA001",</w:t>
      </w:r>
    </w:p>
    <w:p>
      <w:pPr>
        <w:shd w:fill="1E2A3A" w:val="clear"/>
        <w:spacing w:after="0" w:before="0"/>
        <w:ind w:left="360" w:right="360"/>
      </w:pPr>
      <w:r>
        <w:rPr>
          <w:rFonts w:ascii="Courier New" w:cs="Courier New" w:eastAsia="Courier New" w:hAnsi="Courier New"/>
          <w:color w:val="D4E6F1"/>
          <w:sz w:val="18"/>
          <w:szCs w:val="18"/>
        </w:rPr>
        <w:t xml:space="preserve">  "expectedDeals":       1500,</w:t>
      </w:r>
    </w:p>
    <w:p>
      <w:pPr>
        <w:shd w:fill="1E2A3A" w:val="clear"/>
        <w:spacing w:after="0" w:before="0"/>
        <w:ind w:left="360" w:right="360"/>
      </w:pPr>
      <w:r>
        <w:rPr>
          <w:rFonts w:ascii="Courier New" w:cs="Courier New" w:eastAsia="Courier New" w:hAnsi="Courier New"/>
          <w:color w:val="D4E6F1"/>
          <w:sz w:val="18"/>
          <w:szCs w:val="18"/>
        </w:rPr>
        <w:t xml:space="preserve">  "processedDeals":      1500,</w:t>
      </w:r>
    </w:p>
    <w:p>
      <w:pPr>
        <w:shd w:fill="1E2A3A" w:val="clear"/>
        <w:spacing w:after="0" w:before="0"/>
        <w:ind w:left="360" w:right="360"/>
      </w:pPr>
      <w:r>
        <w:rPr>
          <w:rFonts w:ascii="Courier New" w:cs="Courier New" w:eastAsia="Courier New" w:hAnsi="Courier New"/>
          <w:color w:val="D4E6F1"/>
          <w:sz w:val="18"/>
          <w:szCs w:val="18"/>
        </w:rPr>
        <w:t xml:space="preserve">  "status":              "COMPLETED",</w:t>
      </w:r>
    </w:p>
    <w:p>
      <w:pPr>
        <w:shd w:fill="1E2A3A" w:val="clear"/>
        <w:spacing w:after="0" w:before="0"/>
        <w:ind w:left="360" w:right="360"/>
      </w:pPr>
      <w:r>
        <w:rPr>
          <w:rFonts w:ascii="Courier New" w:cs="Courier New" w:eastAsia="Courier New" w:hAnsi="Courier New"/>
          <w:color w:val="D4E6F1"/>
          <w:sz w:val="18"/>
          <w:szCs w:val="18"/>
        </w:rPr>
        <w:t xml:space="preserve">  "inputFile":           "s3://xena-data-lake-input-pro/.../input.parquet",</w:t>
      </w:r>
    </w:p>
    <w:p>
      <w:pPr>
        <w:shd w:fill="1E2A3A" w:val="clear"/>
        <w:spacing w:after="0" w:before="0"/>
        <w:ind w:left="360" w:right="360"/>
      </w:pPr>
      <w:r>
        <w:rPr>
          <w:rFonts w:ascii="Courier New" w:cs="Courier New" w:eastAsia="Courier New" w:hAnsi="Courier New"/>
          <w:color w:val="D4E6F1"/>
          <w:sz w:val="18"/>
          <w:szCs w:val="18"/>
        </w:rPr>
        <w:t xml:space="preserve">  "outputPath":          "s3://xena-data-lake-output-pro/.../netting_set001/CSA001/",</w:t>
      </w:r>
    </w:p>
    <w:p>
      <w:pPr>
        <w:shd w:fill="1E2A3A" w:val="clear"/>
        <w:spacing w:after="0" w:before="0"/>
        <w:ind w:left="360" w:right="360"/>
      </w:pPr>
      <w:r>
        <w:rPr>
          <w:rFonts w:ascii="Courier New" w:cs="Courier New" w:eastAsia="Courier New" w:hAnsi="Courier New"/>
          <w:color w:val="D4E6F1"/>
          <w:sz w:val="18"/>
          <w:szCs w:val="18"/>
        </w:rPr>
        <w:t xml:space="preserve">  "library":             "XDE_FMTM",</w:t>
      </w:r>
    </w:p>
    <w:p>
      <w:pPr>
        <w:shd w:fill="1E2A3A" w:val="clear"/>
        <w:spacing w:after="0" w:before="0"/>
        <w:ind w:left="360" w:right="360"/>
      </w:pPr>
      <w:r>
        <w:rPr>
          <w:rFonts w:ascii="Courier New" w:cs="Courier New" w:eastAsia="Courier New" w:hAnsi="Courier New"/>
          <w:color w:val="D4E6F1"/>
          <w:sz w:val="18"/>
          <w:szCs w:val="18"/>
        </w:rPr>
        <w:t xml:space="preserve">  "libraryVersion":      "3.4.1",</w:t>
      </w:r>
    </w:p>
    <w:p>
      <w:pPr>
        <w:shd w:fill="1E2A3A" w:val="clear"/>
        <w:spacing w:after="0" w:before="0"/>
        <w:ind w:left="360" w:right="360"/>
      </w:pPr>
      <w:r>
        <w:rPr>
          <w:rFonts w:ascii="Courier New" w:cs="Courier New" w:eastAsia="Courier New" w:hAnsi="Courier New"/>
          <w:color w:val="D4E6F1"/>
          <w:sz w:val="18"/>
          <w:szCs w:val="18"/>
        </w:rPr>
        <w:t xml:space="preserve">  "workerId":            "grid-worker-17",</w:t>
      </w:r>
    </w:p>
    <w:p>
      <w:pPr>
        <w:shd w:fill="1E2A3A" w:val="clear"/>
        <w:spacing w:after="0" w:before="0"/>
        <w:ind w:left="360" w:right="360"/>
      </w:pPr>
      <w:r>
        <w:rPr>
          <w:rFonts w:ascii="Courier New" w:cs="Courier New" w:eastAsia="Courier New" w:hAnsi="Courier New"/>
          <w:color w:val="D4E6F1"/>
          <w:sz w:val="18"/>
          <w:szCs w:val="18"/>
        </w:rPr>
        <w:t xml:space="preserve">  "startTime":           "2026-05-21T10:00:00Z",</w:t>
      </w:r>
    </w:p>
    <w:p>
      <w:pPr>
        <w:shd w:fill="1E2A3A" w:val="clear"/>
        <w:spacing w:after="0" w:before="0"/>
        <w:ind w:left="360" w:right="360"/>
      </w:pPr>
      <w:r>
        <w:rPr>
          <w:rFonts w:ascii="Courier New" w:cs="Courier New" w:eastAsia="Courier New" w:hAnsi="Courier New"/>
          <w:color w:val="D4E6F1"/>
          <w:sz w:val="18"/>
          <w:szCs w:val="18"/>
        </w:rPr>
        <w:t xml:space="preserve">  "lastUpdate":          "2026-05-21T10:15:00Z",</w:t>
      </w:r>
    </w:p>
    <w:p>
      <w:pPr>
        <w:shd w:fill="1E2A3A" w:val="clear"/>
        <w:spacing w:after="0" w:before="0"/>
        <w:ind w:left="360" w:right="360"/>
      </w:pPr>
      <w:r>
        <w:rPr>
          <w:rFonts w:ascii="Courier New" w:cs="Courier New" w:eastAsia="Courier New" w:hAnsi="Courier New"/>
          <w:color w:val="D4E6F1"/>
          <w:sz w:val="18"/>
          <w:szCs w:val="18"/>
        </w:rPr>
        <w:t xml:space="preserve">  "endTime":             "2026-05-21T10:15:02Z"</w:t>
      </w:r>
    </w:p>
    <w:p>
      <w:pPr>
        <w:shd w:fill="1E2A3A" w:val="clear"/>
        <w:spacing w:after="0" w:before="0"/>
        <w:ind w:left="360" w:right="360"/>
      </w:pPr>
      <w:r>
        <w:rPr>
          <w:rFonts w:ascii="Courier New" w:cs="Courier New" w:eastAsia="Courier New" w:hAnsi="Courier New"/>
          <w:color w:val="D4E6F1"/>
          <w:sz w:val="18"/>
          <w:szCs w:val="18"/>
        </w:rPr>
        <w:t xml:space="preserve">}</w:t>
      </w:r>
    </w:p>
    <w:p>
      <w:pPr>
        <w:spacing w:after="160"/>
      </w:pPr>
    </w:p>
    <w:p>
      <w:pPr>
        <w:pBdr>
          <w:left w:val="single" w:color="2E6EBF" w:sz="12"/>
        </w:pBdr>
        <w:shd w:fill="EEF4FB" w:val="clear"/>
        <w:spacing w:after="120"/>
        <w:ind w:left="360" w:right="360"/>
      </w:pPr>
      <w:r>
        <w:rPr>
          <w:rFonts w:ascii="Calibri" w:cs="Calibri" w:eastAsia="Calibri" w:hAnsi="Calibri"/>
          <w:b/>
          <w:bCs/>
          <w:color w:val="2E6EBF"/>
          <w:sz w:val="20"/>
          <w:szCs w:val="20"/>
        </w:rPr>
        <w:t xml:space="preserve">Observability fields: </w:t>
      </w:r>
      <w:r>
        <w:rPr>
          <w:rFonts w:ascii="Calibri" w:cs="Calibri" w:eastAsia="Calibri" w:hAnsi="Calibri"/>
          <w:sz w:val="20"/>
          <w:szCs w:val="20"/>
        </w:rPr>
        <w:t xml:space="preserve">The manifest intentionally includes execution metadata, traceability, library version, worker provenance, and timing. This supports operational observability, reconciliation, auditability, GETAFE integration, and historical execution analysis.</w:t>
      </w:r>
    </w:p>
    <w:p>
      <w:pPr>
        <w:pStyle w:val="Heading1"/>
        <w:spacing w:after="200" w:before="360"/>
      </w:pPr>
      <w:r>
        <w:rPr>
          <w:rFonts w:ascii="Calibri" w:cs="Calibri" w:eastAsia="Calibri" w:hAnsi="Calibri"/>
          <w:b/>
          <w:bCs/>
          <w:color w:val="FFFFFF"/>
          <w:sz w:val="32"/>
          <w:szCs w:val="32"/>
        </w:rPr>
        <w:t xml:space="preserve">10. GRID/XDE Aggregation Model</w:t>
      </w:r>
    </w:p>
    <w:p>
      <w:pPr>
        <w:pStyle w:val="Heading2"/>
        <w:spacing w:after="120" w:before="280"/>
      </w:pPr>
      <w:r>
        <w:rPr>
          <w:rFonts w:ascii="Calibri" w:cs="Calibri" w:eastAsia="Calibri" w:hAnsi="Calibri"/>
          <w:b/>
          <w:bCs/>
          <w:color w:val="1F3864"/>
          <w:sz w:val="26"/>
          <w:szCs w:val="26"/>
        </w:rPr>
        <w:t xml:space="preserve">10.1  Why Aggregation Belongs to GRID</w:t>
      </w:r>
    </w:p>
    <w:p>
      <w:pPr>
        <w:spacing w:after="120"/>
      </w:pPr>
      <w:r>
        <w:rPr>
          <w:rFonts w:ascii="Calibri" w:cs="Calibri" w:eastAsia="Calibri" w:hAnsi="Calibri"/>
          <w:sz w:val="20"/>
          <w:szCs w:val="20"/>
        </w:rPr>
        <w:t xml:space="preserve">GRID/XDE already processes deals in parallel, knows NettingSet ownership, controls deal lifecycle, and understands execution completion semantics. Aggregation therefore belongs naturally to GRID, ensuring XENA remains generic and domain-agnostic.</w:t>
      </w:r>
    </w:p>
    <w:p>
      <w:pPr>
        <w:pStyle w:val="Heading2"/>
        <w:spacing w:after="120" w:before="280"/>
      </w:pPr>
      <w:r>
        <w:rPr>
          <w:rFonts w:ascii="Calibri" w:cs="Calibri" w:eastAsia="Calibri" w:hAnsi="Calibri"/>
          <w:b/>
          <w:bCs/>
          <w:color w:val="1F3864"/>
          <w:sz w:val="26"/>
          <w:szCs w:val="26"/>
        </w:rPr>
        <w:t xml:space="preserve">10.2  Why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Property</w:t>
            </w:r>
          </w:p>
        </w:tc>
        <w:tc>
          <w:tcPr>
            <w:tcW w:type="dxa" w:w="636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Benefit</w:t>
            </w:r>
          </w:p>
        </w:tc>
      </w:tr>
      <w:tr>
        <w:tc>
          <w:tcPr>
            <w:tcW w:type="dxa" w:w="30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In-memory storage</w:t>
            </w:r>
          </w:p>
        </w:tc>
        <w:tc>
          <w:tcPr>
            <w:tcW w:type="dxa" w:w="63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Sub-millisecond latency for counter operations</w:t>
            </w:r>
          </w:p>
        </w:tc>
      </w:tr>
      <w:tr>
        <w:tc>
          <w:tcPr>
            <w:tcW w:type="dxa" w:w="30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Atomic operations</w:t>
            </w:r>
          </w:p>
        </w:tc>
        <w:tc>
          <w:tcPr>
            <w:tcW w:type="dxa" w:w="63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Thread-safe updates with no lost increments under concurrency</w:t>
            </w:r>
          </w:p>
        </w:tc>
      </w:tr>
      <w:tr>
        <w:tc>
          <w:tcPr>
            <w:tcW w:type="dxa" w:w="30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Single-threaded execution model</w:t>
            </w:r>
          </w:p>
        </w:tc>
        <w:tc>
          <w:tcPr>
            <w:tcW w:type="dxa" w:w="63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Guarantees deterministic ordering of INCR/SETNX commands</w:t>
            </w:r>
          </w:p>
        </w:tc>
      </w:tr>
      <w:tr>
        <w:tc>
          <w:tcPr>
            <w:tcW w:type="dxa" w:w="30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High throughput</w:t>
            </w:r>
          </w:p>
        </w:tc>
        <w:tc>
          <w:tcPr>
            <w:tcW w:type="dxa" w:w="63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Handles thousands of concurrent worker updates without bottleneck</w:t>
            </w:r>
          </w:p>
        </w:tc>
      </w:tr>
      <w:tr>
        <w:tc>
          <w:tcPr>
            <w:tcW w:type="dxa" w:w="30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Lightweight coordination</w:t>
            </w:r>
          </w:p>
        </w:tc>
        <w:tc>
          <w:tcPr>
            <w:tcW w:type="dxa" w:w="63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No additional database infrastructure required</w:t>
            </w:r>
          </w:p>
        </w:tc>
      </w:tr>
    </w:tbl>
    <w:p>
      <w:pPr>
        <w:spacing w:after="160"/>
      </w:pPr>
    </w:p>
    <w:p>
      <w:pPr>
        <w:pStyle w:val="Heading1"/>
        <w:spacing w:after="200" w:before="360"/>
      </w:pPr>
      <w:r>
        <w:rPr>
          <w:rFonts w:ascii="Calibri" w:cs="Calibri" w:eastAsia="Calibri" w:hAnsi="Calibri"/>
          <w:b/>
          <w:bCs/>
          <w:color w:val="FFFFFF"/>
          <w:sz w:val="32"/>
          <w:szCs w:val="32"/>
        </w:rPr>
        <w:t xml:space="preserve">11. Atomic Completion Detection</w:t>
      </w:r>
    </w:p>
    <w:p>
      <w:pPr>
        <w:pStyle w:val="Heading2"/>
        <w:spacing w:after="120" w:before="280"/>
      </w:pPr>
      <w:r>
        <w:rPr>
          <w:rFonts w:ascii="Calibri" w:cs="Calibri" w:eastAsia="Calibri" w:hAnsi="Calibri"/>
          <w:b/>
          <w:bCs/>
          <w:color w:val="1F3864"/>
          <w:sz w:val="26"/>
          <w:szCs w:val="26"/>
        </w:rPr>
        <w:t xml:space="preserve">11.1  The Race Condition Problem</w:t>
      </w:r>
    </w:p>
    <w:p>
      <w:pPr>
        <w:spacing w:after="120"/>
      </w:pPr>
      <w:r>
        <w:rPr>
          <w:rFonts w:ascii="Calibri" w:cs="Calibri" w:eastAsia="Calibri" w:hAnsi="Calibri"/>
          <w:sz w:val="20"/>
          <w:szCs w:val="20"/>
        </w:rPr>
        <w:t xml:space="preserve">A naive read-increment-check pattern is not safe under concurrent access. Two workers can read the same counter value simultaneously, both increment locally, and both trigger completion:</w:t>
      </w:r>
    </w:p>
    <w:p>
      <w:pPr>
        <w:shd w:fill="1E2A3A" w:val="clear"/>
        <w:spacing w:after="0" w:before="80"/>
        <w:ind w:left="360" w:right="360"/>
      </w:pPr>
      <w:r>
        <w:rPr>
          <w:rFonts w:ascii="Courier New" w:cs="Courier New" w:eastAsia="Courier New" w:hAnsi="Courier New"/>
          <w:color w:val="D4E6F1"/>
          <w:sz w:val="18"/>
          <w:szCs w:val="18"/>
        </w:rPr>
        <w:t xml:space="preserve">// ❌ UNSAFE — do not use</w:t>
      </w:r>
    </w:p>
    <w:p>
      <w:pPr>
        <w:shd w:fill="1E2A3A" w:val="clear"/>
        <w:spacing w:after="0" w:before="0"/>
        <w:ind w:left="360" w:right="360"/>
      </w:pPr>
      <w:r>
        <w:rPr>
          <w:rFonts w:ascii="Courier New" w:cs="Courier New" w:eastAsia="Courier New" w:hAnsi="Courier New"/>
          <w:color w:val="D4E6F1"/>
          <w:sz w:val="18"/>
          <w:szCs w:val="18"/>
        </w:rPr>
        <w:t xml:space="preserve">int count = redis.get(key);   // worker A reads 1499</w:t>
      </w:r>
    </w:p>
    <w:p>
      <w:pPr>
        <w:shd w:fill="1E2A3A" w:val="clear"/>
        <w:spacing w:after="0" w:before="0"/>
        <w:ind w:left="360" w:right="360"/>
      </w:pPr>
      <w:r>
        <w:rPr>
          <w:rFonts w:ascii="Courier New" w:cs="Courier New" w:eastAsia="Courier New" w:hAnsi="Courier New"/>
          <w:color w:val="D4E6F1"/>
          <w:sz w:val="18"/>
          <w:szCs w:val="18"/>
        </w:rPr>
        <w:t xml:space="preserve">count++;                       // worker B also reads 1499 concurrently</w:t>
      </w:r>
    </w:p>
    <w:p>
      <w:pPr>
        <w:shd w:fill="1E2A3A" w:val="clear"/>
        <w:spacing w:after="0" w:before="0"/>
        <w:ind w:left="360" w:right="360"/>
      </w:pPr>
      <w:r>
        <w:rPr>
          <w:rFonts w:ascii="Courier New" w:cs="Courier New" w:eastAsia="Courier New" w:hAnsi="Courier New"/>
          <w:color w:val="D4E6F1"/>
          <w:sz w:val="18"/>
          <w:szCs w:val="18"/>
        </w:rPr>
        <w:t xml:space="preserve">if (count == expected) {</w:t>
      </w:r>
    </w:p>
    <w:p>
      <w:pPr>
        <w:shd w:fill="1E2A3A" w:val="clear"/>
        <w:spacing w:after="0" w:before="0"/>
        <w:ind w:left="360" w:right="360"/>
      </w:pPr>
      <w:r>
        <w:rPr>
          <w:rFonts w:ascii="Courier New" w:cs="Courier New" w:eastAsia="Courier New" w:hAnsi="Courier New"/>
          <w:color w:val="D4E6F1"/>
          <w:sz w:val="18"/>
          <w:szCs w:val="18"/>
        </w:rPr>
        <w:t xml:space="preserve">    trigger_completion();      // BOTH workers enter this branch</w:t>
      </w:r>
    </w:p>
    <w:p>
      <w:pPr>
        <w:shd w:fill="1E2A3A" w:val="clear"/>
        <w:spacing w:after="0" w:before="0"/>
        <w:ind w:left="360" w:right="360"/>
      </w:pPr>
      <w:r>
        <w:rPr>
          <w:rFonts w:ascii="Courier New" w:cs="Courier New" w:eastAsia="Courier New" w:hAnsi="Courier New"/>
          <w:color w:val="D4E6F1"/>
          <w:sz w:val="18"/>
          <w:szCs w:val="18"/>
        </w:rPr>
        <w:t xml:space="preserve">}</w:t>
      </w:r>
    </w:p>
    <w:p>
      <w:pPr>
        <w:spacing w:after="160"/>
      </w:pPr>
    </w:p>
    <w:p>
      <w:pPr>
        <w:pStyle w:val="Heading2"/>
        <w:spacing w:after="120" w:before="280"/>
      </w:pPr>
      <w:r>
        <w:rPr>
          <w:rFonts w:ascii="Calibri" w:cs="Calibri" w:eastAsia="Calibri" w:hAnsi="Calibri"/>
          <w:b/>
          <w:bCs/>
          <w:color w:val="1F3864"/>
          <w:sz w:val="26"/>
          <w:szCs w:val="26"/>
        </w:rPr>
        <w:t xml:space="preserve">11.2  Correct Atomic Pattern</w:t>
      </w:r>
    </w:p>
    <w:p>
      <w:pPr>
        <w:spacing w:after="120"/>
      </w:pPr>
      <w:r>
        <w:rPr>
          <w:rFonts w:ascii="Calibri" w:cs="Calibri" w:eastAsia="Calibri" w:hAnsi="Calibri"/>
          <w:sz w:val="20"/>
          <w:szCs w:val="20"/>
        </w:rPr>
        <w:t xml:space="preserve">Completion detection must be a two-step atomic operation: (1) atomic server-side increment via HINCRBY, (2) single-writer guard via SETNX. Redis executes each command atomically on its single-threaded command loop, so only one worker will observe the transition to the expected count, and only one SETNX will succeed.</w:t>
      </w:r>
    </w:p>
    <w:p>
      <w:pPr>
        <w:shd w:fill="1E2A3A" w:val="clear"/>
        <w:spacing w:after="0" w:before="80"/>
        <w:ind w:left="360" w:right="360"/>
      </w:pPr>
      <w:r>
        <w:rPr>
          <w:rFonts w:ascii="Courier New" w:cs="Courier New" w:eastAsia="Courier New" w:hAnsi="Courier New"/>
          <w:color w:val="D4E6F1"/>
          <w:sz w:val="18"/>
          <w:szCs w:val="18"/>
        </w:rPr>
        <w:t xml:space="preserve">// ✅ CORRECT — atomic increment + SETNX completion guard</w:t>
      </w:r>
    </w:p>
    <w:p>
      <w:pPr>
        <w:shd w:fill="1E2A3A" w:val="clear"/>
        <w:spacing w:after="0" w:before="0"/>
        <w:ind w:left="360" w:right="360"/>
      </w:pPr>
      <w:r>
        <w:rPr>
          <w:rFonts w:ascii="Courier New" w:cs="Courier New" w:eastAsia="Courier New" w:hAnsi="Courier New"/>
          <w:color w:val="D4E6F1"/>
          <w:sz w:val="18"/>
          <w:szCs w:val="18"/>
        </w:rPr>
        <w:t xml:space="preserve">long long processed = redis.hincrby(counterKey, "processed", 1);</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if (processed == expectedDeals) {</w:t>
      </w:r>
    </w:p>
    <w:p>
      <w:pPr>
        <w:shd w:fill="1E2A3A" w:val="clear"/>
        <w:spacing w:after="0" w:before="0"/>
        <w:ind w:left="360" w:right="360"/>
      </w:pPr>
      <w:r>
        <w:rPr>
          <w:rFonts w:ascii="Courier New" w:cs="Courier New" w:eastAsia="Courier New" w:hAnsi="Courier New"/>
          <w:color w:val="D4E6F1"/>
          <w:sz w:val="18"/>
          <w:szCs w:val="18"/>
        </w:rPr>
        <w:t xml:space="preserve">    // SETNX returns true for only ONE caller, even under high concurrency</w:t>
      </w:r>
    </w:p>
    <w:p>
      <w:pPr>
        <w:shd w:fill="1E2A3A" w:val="clear"/>
        <w:spacing w:after="0" w:before="0"/>
        <w:ind w:left="360" w:right="360"/>
      </w:pPr>
      <w:r>
        <w:rPr>
          <w:rFonts w:ascii="Courier New" w:cs="Courier New" w:eastAsia="Courier New" w:hAnsi="Courier New"/>
          <w:color w:val="D4E6F1"/>
          <w:sz w:val="18"/>
          <w:szCs w:val="18"/>
        </w:rPr>
        <w:t xml:space="preserve">    bool isFirst = redis.setnx(completionKey, "1");</w:t>
      </w:r>
    </w:p>
    <w:p>
      <w:pPr>
        <w:shd w:fill="1E2A3A" w:val="clear"/>
        <w:spacing w:after="0" w:before="0"/>
        <w:ind w:left="360" w:right="360"/>
      </w:pPr>
      <w:r>
        <w:rPr>
          <w:rFonts w:ascii="Courier New" w:cs="Courier New" w:eastAsia="Courier New" w:hAnsi="Courier New"/>
          <w:color w:val="D4E6F1"/>
          <w:sz w:val="18"/>
          <w:szCs w:val="18"/>
        </w:rPr>
        <w:t xml:space="preserve">    if (isFirst) {</w:t>
      </w:r>
    </w:p>
    <w:p>
      <w:pPr>
        <w:shd w:fill="1E2A3A" w:val="clear"/>
        <w:spacing w:after="0" w:before="0"/>
        <w:ind w:left="360" w:right="360"/>
      </w:pPr>
      <w:r>
        <w:rPr>
          <w:rFonts w:ascii="Courier New" w:cs="Courier New" w:eastAsia="Courier New" w:hAnsi="Courier New"/>
          <w:color w:val="D4E6F1"/>
          <w:sz w:val="18"/>
          <w:szCs w:val="18"/>
        </w:rPr>
        <w:t xml:space="preserve">        writeManifest(jobId, nettingSet);   // safe — triggered exactly once</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w:t>
      </w:r>
    </w:p>
    <w:p>
      <w:pPr>
        <w:spacing w:after="160"/>
      </w:pPr>
    </w:p>
    <w:p>
      <w:pPr>
        <w:pStyle w:val="Heading1"/>
        <w:spacing w:after="200" w:before="360"/>
      </w:pPr>
      <w:r>
        <w:rPr>
          <w:rFonts w:ascii="Calibri" w:cs="Calibri" w:eastAsia="Calibri" w:hAnsi="Calibri"/>
          <w:b/>
          <w:bCs/>
          <w:color w:val="FFFFFF"/>
          <w:sz w:val="32"/>
          <w:szCs w:val="32"/>
        </w:rPr>
        <w:t xml:space="preserve">12. C++ GRID/XDE Implementation</w:t>
      </w:r>
    </w:p>
    <w:p>
      <w:pPr>
        <w:pStyle w:val="Heading2"/>
        <w:spacing w:after="120" w:before="280"/>
      </w:pPr>
      <w:r>
        <w:rPr>
          <w:rFonts w:ascii="Calibri" w:cs="Calibri" w:eastAsia="Calibri" w:hAnsi="Calibri"/>
          <w:b/>
          <w:bCs/>
          <w:color w:val="1F3864"/>
          <w:sz w:val="26"/>
          <w:szCs w:val="26"/>
        </w:rPr>
        <w:t xml:space="preserve">12.1  Full processDeal Function</w:t>
      </w:r>
    </w:p>
    <w:p>
      <w:pPr>
        <w:shd w:fill="1E2A3A" w:val="clear"/>
        <w:spacing w:after="0" w:before="80"/>
        <w:ind w:left="360" w:right="360"/>
      </w:pPr>
      <w:r>
        <w:rPr>
          <w:rFonts w:ascii="Courier New" w:cs="Courier New" w:eastAsia="Courier New" w:hAnsi="Courier New"/>
          <w:color w:val="D4E6F1"/>
          <w:sz w:val="18"/>
          <w:szCs w:val="18"/>
        </w:rPr>
        <w:t xml:space="preserve">#include &lt;sw/redis++/redis++.h&gt;</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using namespace sw::redis;</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Key helpers ───────────────────────────────────────────────────────────</w:t>
      </w:r>
    </w:p>
    <w:p>
      <w:pPr>
        <w:shd w:fill="1E2A3A" w:val="clear"/>
        <w:spacing w:after="0" w:before="0"/>
        <w:ind w:left="360" w:right="360"/>
      </w:pPr>
      <w:r>
        <w:rPr>
          <w:rFonts w:ascii="Courier New" w:cs="Courier New" w:eastAsia="Courier New" w:hAnsi="Courier New"/>
          <w:color w:val="D4E6F1"/>
          <w:sz w:val="18"/>
          <w:szCs w:val="18"/>
        </w:rPr>
        <w:t xml:space="preserve">static std::string counterKey(const std::string&amp; jobId,</w:t>
      </w:r>
    </w:p>
    <w:p>
      <w:pPr>
        <w:shd w:fill="1E2A3A" w:val="clear"/>
        <w:spacing w:after="0" w:before="0"/>
        <w:ind w:left="360" w:right="360"/>
      </w:pPr>
      <w:r>
        <w:rPr>
          <w:rFonts w:ascii="Courier New" w:cs="Courier New" w:eastAsia="Courier New" w:hAnsi="Courier New"/>
          <w:color w:val="D4E6F1"/>
          <w:sz w:val="18"/>
          <w:szCs w:val="18"/>
        </w:rPr>
        <w:t xml:space="preserve">                              const std::string&amp; nettingSetId) {</w:t>
      </w:r>
    </w:p>
    <w:p>
      <w:pPr>
        <w:shd w:fill="1E2A3A" w:val="clear"/>
        <w:spacing w:after="0" w:before="0"/>
        <w:ind w:left="360" w:right="360"/>
      </w:pPr>
      <w:r>
        <w:rPr>
          <w:rFonts w:ascii="Courier New" w:cs="Courier New" w:eastAsia="Courier New" w:hAnsi="Courier New"/>
          <w:color w:val="D4E6F1"/>
          <w:sz w:val="18"/>
          <w:szCs w:val="18"/>
        </w:rPr>
        <w:t xml:space="preserve">    return "netting:" + jobId + ":" + nettingSetId;</w:t>
      </w:r>
    </w:p>
    <w:p>
      <w:pPr>
        <w:shd w:fill="1E2A3A" w:val="clear"/>
        <w:spacing w:after="0" w:before="0"/>
        <w:ind w:left="360" w:right="360"/>
      </w:pPr>
      <w:r>
        <w:rPr>
          <w:rFonts w:ascii="Courier New" w:cs="Courier New" w:eastAsia="Courier New" w:hAnsi="Courier New"/>
          <w:color w:val="D4E6F1"/>
          <w:sz w:val="18"/>
          <w:szCs w:val="18"/>
        </w:rPr>
        <w:t xml:space="preserve">}</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static std::string completionKey(const std::string&amp; jobId,</w:t>
      </w:r>
    </w:p>
    <w:p>
      <w:pPr>
        <w:shd w:fill="1E2A3A" w:val="clear"/>
        <w:spacing w:after="0" w:before="0"/>
        <w:ind w:left="360" w:right="360"/>
      </w:pPr>
      <w:r>
        <w:rPr>
          <w:rFonts w:ascii="Courier New" w:cs="Courier New" w:eastAsia="Courier New" w:hAnsi="Courier New"/>
          <w:color w:val="D4E6F1"/>
          <w:sz w:val="18"/>
          <w:szCs w:val="18"/>
        </w:rPr>
        <w:t xml:space="preserve">                                 const std::string&amp; nettingSetId) {</w:t>
      </w:r>
    </w:p>
    <w:p>
      <w:pPr>
        <w:shd w:fill="1E2A3A" w:val="clear"/>
        <w:spacing w:after="0" w:before="0"/>
        <w:ind w:left="360" w:right="360"/>
      </w:pPr>
      <w:r>
        <w:rPr>
          <w:rFonts w:ascii="Courier New" w:cs="Courier New" w:eastAsia="Courier New" w:hAnsi="Courier New"/>
          <w:color w:val="D4E6F1"/>
          <w:sz w:val="18"/>
          <w:szCs w:val="18"/>
        </w:rPr>
        <w:t xml:space="preserve">    return counterKey(jobId, nettingSetId) + ":completed";</w:t>
      </w:r>
    </w:p>
    <w:p>
      <w:pPr>
        <w:shd w:fill="1E2A3A" w:val="clear"/>
        <w:spacing w:after="0" w:before="0"/>
        <w:ind w:left="360" w:right="360"/>
      </w:pPr>
      <w:r>
        <w:rPr>
          <w:rFonts w:ascii="Courier New" w:cs="Courier New" w:eastAsia="Courier New" w:hAnsi="Courier New"/>
          <w:color w:val="D4E6F1"/>
          <w:sz w:val="18"/>
          <w:szCs w:val="18"/>
        </w:rPr>
        <w:t xml:space="preserve">}</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Main deal processor ───────────────────────────────────────────────────</w:t>
      </w:r>
    </w:p>
    <w:p>
      <w:pPr>
        <w:shd w:fill="1E2A3A" w:val="clear"/>
        <w:spacing w:after="0" w:before="0"/>
        <w:ind w:left="360" w:right="360"/>
      </w:pPr>
      <w:r>
        <w:rPr>
          <w:rFonts w:ascii="Courier New" w:cs="Courier New" w:eastAsia="Courier New" w:hAnsi="Courier New"/>
          <w:color w:val="D4E6F1"/>
          <w:sz w:val="18"/>
          <w:szCs w:val="18"/>
        </w:rPr>
        <w:t xml:space="preserve">void processDeal(Redis&amp;             redis,</w:t>
      </w:r>
    </w:p>
    <w:p>
      <w:pPr>
        <w:shd w:fill="1E2A3A" w:val="clear"/>
        <w:spacing w:after="0" w:before="0"/>
        <w:ind w:left="360" w:right="360"/>
      </w:pPr>
      <w:r>
        <w:rPr>
          <w:rFonts w:ascii="Courier New" w:cs="Courier New" w:eastAsia="Courier New" w:hAnsi="Courier New"/>
          <w:color w:val="D4E6F1"/>
          <w:sz w:val="18"/>
          <w:szCs w:val="18"/>
        </w:rPr>
        <w:t xml:space="preserve">                 const std::string&amp; jobId,</w:t>
      </w:r>
    </w:p>
    <w:p>
      <w:pPr>
        <w:shd w:fill="1E2A3A" w:val="clear"/>
        <w:spacing w:after="0" w:before="0"/>
        <w:ind w:left="360" w:right="360"/>
      </w:pPr>
      <w:r>
        <w:rPr>
          <w:rFonts w:ascii="Courier New" w:cs="Courier New" w:eastAsia="Courier New" w:hAnsi="Courier New"/>
          <w:color w:val="D4E6F1"/>
          <w:sz w:val="18"/>
          <w:szCs w:val="18"/>
        </w:rPr>
        <w:t xml:space="preserve">                 const std::string&amp; nettingSetId,</w:t>
      </w:r>
    </w:p>
    <w:p>
      <w:pPr>
        <w:shd w:fill="1E2A3A" w:val="clear"/>
        <w:spacing w:after="0" w:before="0"/>
        <w:ind w:left="360" w:right="360"/>
      </w:pPr>
      <w:r>
        <w:rPr>
          <w:rFonts w:ascii="Courier New" w:cs="Courier New" w:eastAsia="Courier New" w:hAnsi="Courier New"/>
          <w:color w:val="D4E6F1"/>
          <w:sz w:val="18"/>
          <w:szCs w:val="18"/>
        </w:rPr>
        <w:t xml:space="preserve">                 int                expectedDeals) {</w:t>
      </w:r>
    </w:p>
    <w:p>
      <w:pPr>
        <w:shd w:fill="1E2A3A" w:val="clear"/>
        <w:spacing w:after="0" w:before="0"/>
        <w:ind w:left="360" w:right="360"/>
      </w:pPr>
      <w:r>
        <w:rPr>
          <w:rFonts w:ascii="Courier New" w:cs="Courier New" w:eastAsia="Courier New" w:hAnsi="Courier New"/>
          <w:color w:val="D4E6F1"/>
          <w:sz w:val="18"/>
          <w:szCs w:val="18"/>
        </w:rPr>
        <w:t xml:space="preserve">    const auto ck = counterKey(jobId, nettingSetId);</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Step 1: atomic server-side increment</w:t>
      </w:r>
    </w:p>
    <w:p>
      <w:pPr>
        <w:shd w:fill="1E2A3A" w:val="clear"/>
        <w:spacing w:after="0" w:before="0"/>
        <w:ind w:left="360" w:right="360"/>
      </w:pPr>
      <w:r>
        <w:rPr>
          <w:rFonts w:ascii="Courier New" w:cs="Courier New" w:eastAsia="Courier New" w:hAnsi="Courier New"/>
          <w:color w:val="D4E6F1"/>
          <w:sz w:val="18"/>
          <w:szCs w:val="18"/>
        </w:rPr>
        <w:t xml:space="preserve">    long long processed = redis.hincrby(ck, "processed", 1);</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Step 2: check completion threshold</w:t>
      </w:r>
    </w:p>
    <w:p>
      <w:pPr>
        <w:shd w:fill="1E2A3A" w:val="clear"/>
        <w:spacing w:after="0" w:before="0"/>
        <w:ind w:left="360" w:right="360"/>
      </w:pPr>
      <w:r>
        <w:rPr>
          <w:rFonts w:ascii="Courier New" w:cs="Courier New" w:eastAsia="Courier New" w:hAnsi="Courier New"/>
          <w:color w:val="D4E6F1"/>
          <w:sz w:val="18"/>
          <w:szCs w:val="18"/>
        </w:rPr>
        <w:t xml:space="preserve">    if (processed == expectedDeals)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Step 3: single-writer guard — only the first caller proceeds</w:t>
      </w:r>
    </w:p>
    <w:p>
      <w:pPr>
        <w:shd w:fill="1E2A3A" w:val="clear"/>
        <w:spacing w:after="0" w:before="0"/>
        <w:ind w:left="360" w:right="360"/>
      </w:pPr>
      <w:r>
        <w:rPr>
          <w:rFonts w:ascii="Courier New" w:cs="Courier New" w:eastAsia="Courier New" w:hAnsi="Courier New"/>
          <w:color w:val="D4E6F1"/>
          <w:sz w:val="18"/>
          <w:szCs w:val="18"/>
        </w:rPr>
        <w:t xml:space="preserve">        bool isFirst = redis.setnx(completionKey(jobId, nettingSetId), "1");</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if (isFirst) {</w:t>
      </w:r>
    </w:p>
    <w:p>
      <w:pPr>
        <w:shd w:fill="1E2A3A" w:val="clear"/>
        <w:spacing w:after="0" w:before="0"/>
        <w:ind w:left="360" w:right="360"/>
      </w:pPr>
      <w:r>
        <w:rPr>
          <w:rFonts w:ascii="Courier New" w:cs="Courier New" w:eastAsia="Courier New" w:hAnsi="Courier New"/>
          <w:color w:val="D4E6F1"/>
          <w:sz w:val="18"/>
          <w:szCs w:val="18"/>
        </w:rPr>
        <w:t xml:space="preserve">            // Exactly one worker reaches this branch</w:t>
      </w:r>
    </w:p>
    <w:p>
      <w:pPr>
        <w:shd w:fill="1E2A3A" w:val="clear"/>
        <w:spacing w:after="0" w:before="0"/>
        <w:ind w:left="360" w:right="360"/>
      </w:pPr>
      <w:r>
        <w:rPr>
          <w:rFonts w:ascii="Courier New" w:cs="Courier New" w:eastAsia="Courier New" w:hAnsi="Courier New"/>
          <w:color w:val="D4E6F1"/>
          <w:sz w:val="18"/>
          <w:szCs w:val="18"/>
        </w:rPr>
        <w:t xml:space="preserve">            writeNettingSetManifest(jobId, nettingSetId, expectedDeals);</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w:t>
      </w:r>
    </w:p>
    <w:p>
      <w:pPr>
        <w:spacing w:after="160"/>
      </w:pPr>
    </w:p>
    <w:p>
      <w:pPr>
        <w:pStyle w:val="Heading2"/>
        <w:spacing w:after="120" w:before="280"/>
      </w:pPr>
      <w:r>
        <w:rPr>
          <w:rFonts w:ascii="Calibri" w:cs="Calibri" w:eastAsia="Calibri" w:hAnsi="Calibri"/>
          <w:b/>
          <w:bCs/>
          <w:color w:val="1F3864"/>
          <w:sz w:val="26"/>
          <w:szCs w:val="26"/>
        </w:rPr>
        <w:t xml:space="preserve">12.2  Redis Key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60"/>
        <w:gridCol w:w="320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Key Pattern</w:t>
            </w:r>
          </w:p>
        </w:tc>
        <w:tc>
          <w:tcPr>
            <w:tcW w:type="dxa" w:w="256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Fields / Values</w:t>
            </w:r>
          </w:p>
        </w:tc>
        <w:tc>
          <w:tcPr>
            <w:tcW w:type="dxa" w:w="32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Purpose</w:t>
            </w:r>
          </w:p>
        </w:tc>
      </w:tr>
      <w:tr>
        <w:tc>
          <w:tcPr>
            <w:tcW w:type="dxa" w:w="36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tcPr>
          <w:p>
            <w:r>
              <w:rPr>
                <w:rFonts w:ascii="Courier New" w:cs="Courier New" w:eastAsia="Courier New" w:hAnsi="Courier New"/>
                <w:sz w:val="18"/>
                <w:szCs w:val="18"/>
              </w:rPr>
              <w:t xml:space="preserve">netting:{jobId}:{nettingSetId}</w:t>
            </w:r>
          </w:p>
        </w:tc>
        <w:tc>
          <w:tcPr>
            <w:tcW w:type="dxa" w:w="25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tcPr>
          <w:p>
            <w:r>
              <w:rPr>
                <w:rFonts w:ascii="Courier New" w:cs="Courier New" w:eastAsia="Courier New" w:hAnsi="Courier New"/>
                <w:sz w:val="18"/>
                <w:szCs w:val="18"/>
              </w:rPr>
              <w:t xml:space="preserve">processed, expected, status</w:t>
            </w:r>
          </w:p>
        </w:tc>
        <w:tc>
          <w:tcPr>
            <w:tcW w:type="dxa" w:w="32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Hash holding deal aggregation counters</w:t>
            </w:r>
          </w:p>
        </w:tc>
      </w:tr>
      <w:tr>
        <w:tc>
          <w:tcPr>
            <w:tcW w:type="dxa" w:w="36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tcPr>
          <w:p>
            <w:r>
              <w:rPr>
                <w:rFonts w:ascii="Courier New" w:cs="Courier New" w:eastAsia="Courier New" w:hAnsi="Courier New"/>
                <w:sz w:val="18"/>
                <w:szCs w:val="18"/>
              </w:rPr>
              <w:t xml:space="preserve">netting:{jobId}:{nettingSetId}:completed</w:t>
            </w:r>
          </w:p>
        </w:tc>
        <w:tc>
          <w:tcPr>
            <w:tcW w:type="dxa" w:w="25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tcPr>
          <w:p>
            <w:r>
              <w:rPr>
                <w:rFonts w:ascii="Courier New" w:cs="Courier New" w:eastAsia="Courier New" w:hAnsi="Courier New"/>
                <w:sz w:val="18"/>
                <w:szCs w:val="18"/>
              </w:rPr>
              <w:t xml:space="preserve">"1"</w:t>
            </w:r>
          </w:p>
        </w:tc>
        <w:tc>
          <w:tcPr>
            <w:tcW w:type="dxa" w:w="32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Completion guard — set with SETNX to ensure single trigger</w:t>
            </w:r>
          </w:p>
        </w:tc>
      </w:tr>
    </w:tbl>
    <w:p>
      <w:pPr>
        <w:spacing w:after="160"/>
      </w:pPr>
    </w:p>
    <w:p>
      <w:pPr>
        <w:pStyle w:val="Heading1"/>
        <w:spacing w:after="200" w:before="360"/>
      </w:pPr>
      <w:r>
        <w:rPr>
          <w:rFonts w:ascii="Calibri" w:cs="Calibri" w:eastAsia="Calibri" w:hAnsi="Calibri"/>
          <w:b/>
          <w:bCs/>
          <w:color w:val="FFFFFF"/>
          <w:sz w:val="32"/>
          <w:szCs w:val="32"/>
        </w:rPr>
        <w:t xml:space="preserve">13. Python OutputHandler (XENA)</w:t>
      </w:r>
    </w:p>
    <w:p>
      <w:pPr>
        <w:pStyle w:val="Heading2"/>
        <w:spacing w:after="120" w:before="280"/>
      </w:pPr>
      <w:r>
        <w:rPr>
          <w:rFonts w:ascii="Calibri" w:cs="Calibri" w:eastAsia="Calibri" w:hAnsi="Calibri"/>
          <w:b/>
          <w:bCs/>
          <w:color w:val="1F3864"/>
          <w:sz w:val="26"/>
          <w:szCs w:val="26"/>
        </w:rPr>
        <w:t xml:space="preserve">13.1  Generic Manifest Handler</w:t>
      </w:r>
    </w:p>
    <w:p>
      <w:pPr>
        <w:spacing w:after="120"/>
      </w:pPr>
      <w:r>
        <w:rPr>
          <w:rFonts w:ascii="Calibri" w:cs="Calibri" w:eastAsia="Calibri" w:hAnsi="Calibri"/>
          <w:sz w:val="20"/>
          <w:szCs w:val="20"/>
        </w:rPr>
        <w:t xml:space="preserve">The OutputHandler continues to handle only _progress.json and manifest.json. It does not count deals, understand NettingSets, or aggregate execution outputs — preserving simplicity, scalability, and genericity.</w:t>
      </w:r>
    </w:p>
    <w:p>
      <w:pPr>
        <w:shd w:fill="1E2A3A" w:val="clear"/>
        <w:spacing w:after="0" w:before="80"/>
        <w:ind w:left="360" w:right="360"/>
      </w:pPr>
      <w:r>
        <w:rPr>
          <w:rFonts w:ascii="Courier New" w:cs="Courier New" w:eastAsia="Courier New" w:hAnsi="Courier New"/>
          <w:color w:val="D4E6F1"/>
          <w:sz w:val="18"/>
          <w:szCs w:val="18"/>
        </w:rPr>
        <w:t xml:space="preserve">import json</w:t>
      </w:r>
    </w:p>
    <w:p>
      <w:pPr>
        <w:shd w:fill="1E2A3A" w:val="clear"/>
        <w:spacing w:after="0" w:before="0"/>
        <w:ind w:left="360" w:right="360"/>
      </w:pPr>
      <w:r>
        <w:rPr>
          <w:rFonts w:ascii="Courier New" w:cs="Courier New" w:eastAsia="Courier New" w:hAnsi="Courier New"/>
          <w:color w:val="D4E6F1"/>
          <w:sz w:val="18"/>
          <w:szCs w:val="18"/>
        </w:rPr>
        <w:t xml:space="preserve">import boto3</w:t>
      </w:r>
    </w:p>
    <w:p>
      <w:pPr>
        <w:shd w:fill="1E2A3A" w:val="clear"/>
        <w:spacing w:after="0" w:before="0"/>
        <w:ind w:left="360" w:right="360"/>
      </w:pPr>
      <w:r>
        <w:rPr>
          <w:rFonts w:ascii="Courier New" w:cs="Courier New" w:eastAsia="Courier New" w:hAnsi="Courier New"/>
          <w:color w:val="D4E6F1"/>
          <w:sz w:val="18"/>
          <w:szCs w:val="18"/>
        </w:rPr>
        <w:t xml:space="preserve">import redis</w:t>
      </w:r>
    </w:p>
    <w:p>
      <w:pPr>
        <w:shd w:fill="1E2A3A" w:val="clear"/>
        <w:spacing w:after="0" w:before="0"/>
        <w:ind w:left="360" w:right="360"/>
      </w:pPr>
      <w:r>
        <w:rPr>
          <w:rFonts w:ascii="Courier New" w:cs="Courier New" w:eastAsia="Courier New" w:hAnsi="Courier New"/>
          <w:color w:val="D4E6F1"/>
          <w:sz w:val="18"/>
          <w:szCs w:val="18"/>
        </w:rPr>
        <w:t xml:space="preserve">from datetime import datetime, timezone</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s3 = boto3.client('s3')</w:t>
      </w:r>
    </w:p>
    <w:p>
      <w:pPr>
        <w:shd w:fill="1E2A3A" w:val="clear"/>
        <w:spacing w:after="0" w:before="0"/>
        <w:ind w:left="360" w:right="360"/>
      </w:pPr>
      <w:r>
        <w:rPr>
          <w:rFonts w:ascii="Courier New" w:cs="Courier New" w:eastAsia="Courier New" w:hAnsi="Courier New"/>
          <w:color w:val="D4E6F1"/>
          <w:sz w:val="18"/>
          <w:szCs w:val="18"/>
        </w:rPr>
        <w:t xml:space="preserve">r  = redis.Redis(host='redis', decode_responses=True)</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def handle_manifest(bucket: str, key: str) -&gt; None:</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React to a manifest.json written by GRID/XDE.</w:t>
      </w:r>
    </w:p>
    <w:p>
      <w:pPr>
        <w:shd w:fill="1E2A3A" w:val="clear"/>
        <w:spacing w:after="0" w:before="0"/>
        <w:ind w:left="360" w:right="360"/>
      </w:pPr>
      <w:r>
        <w:rPr>
          <w:rFonts w:ascii="Courier New" w:cs="Courier New" w:eastAsia="Courier New" w:hAnsi="Courier New"/>
          <w:color w:val="D4E6F1"/>
          <w:sz w:val="18"/>
          <w:szCs w:val="18"/>
        </w:rPr>
        <w:t xml:space="preserve">    XENA only updates its generic lifecycle state and emits</w:t>
      </w:r>
    </w:p>
    <w:p>
      <w:pPr>
        <w:shd w:fill="1E2A3A" w:val="clear"/>
        <w:spacing w:after="0" w:before="0"/>
        <w:ind w:left="360" w:right="360"/>
      </w:pPr>
      <w:r>
        <w:rPr>
          <w:rFonts w:ascii="Courier New" w:cs="Courier New" w:eastAsia="Courier New" w:hAnsi="Courier New"/>
          <w:color w:val="D4E6F1"/>
          <w:sz w:val="18"/>
          <w:szCs w:val="18"/>
        </w:rPr>
        <w:t xml:space="preserve">    GETAFE events — it never inspects deal-level output.</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obj      = s3.get_object(Bucket=bucket, Key=key)</w:t>
      </w:r>
    </w:p>
    <w:p>
      <w:pPr>
        <w:shd w:fill="1E2A3A" w:val="clear"/>
        <w:spacing w:after="0" w:before="0"/>
        <w:ind w:left="360" w:right="360"/>
      </w:pPr>
      <w:r>
        <w:rPr>
          <w:rFonts w:ascii="Courier New" w:cs="Courier New" w:eastAsia="Courier New" w:hAnsi="Courier New"/>
          <w:color w:val="D4E6F1"/>
          <w:sz w:val="18"/>
          <w:szCs w:val="18"/>
        </w:rPr>
        <w:t xml:space="preserve">    manifest = json.loads(obj['Body'].read())</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job_id    = manifest['jobId']</w:t>
      </w:r>
    </w:p>
    <w:p>
      <w:pPr>
        <w:shd w:fill="1E2A3A" w:val="clear"/>
        <w:spacing w:after="0" w:before="0"/>
        <w:ind w:left="360" w:right="360"/>
      </w:pPr>
      <w:r>
        <w:rPr>
          <w:rFonts w:ascii="Courier New" w:cs="Courier New" w:eastAsia="Courier New" w:hAnsi="Courier New"/>
          <w:color w:val="D4E6F1"/>
          <w:sz w:val="18"/>
          <w:szCs w:val="18"/>
        </w:rPr>
        <w:t xml:space="preserve">    status    = manifest['status']</w:t>
      </w:r>
    </w:p>
    <w:p>
      <w:pPr>
        <w:shd w:fill="1E2A3A" w:val="clear"/>
        <w:spacing w:after="0" w:before="0"/>
        <w:ind w:left="360" w:right="360"/>
      </w:pPr>
      <w:r>
        <w:rPr>
          <w:rFonts w:ascii="Courier New" w:cs="Courier New" w:eastAsia="Courier New" w:hAnsi="Courier New"/>
          <w:color w:val="D4E6F1"/>
          <w:sz w:val="18"/>
          <w:szCs w:val="18"/>
        </w:rPr>
        <w:t xml:space="preserve">    redis_key = f'job:{job_id}'</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Sync lifecycle state into XENA Redis</w:t>
      </w:r>
    </w:p>
    <w:p>
      <w:pPr>
        <w:shd w:fill="1E2A3A" w:val="clear"/>
        <w:spacing w:after="0" w:before="0"/>
        <w:ind w:left="360" w:right="360"/>
      </w:pPr>
      <w:r>
        <w:rPr>
          <w:rFonts w:ascii="Courier New" w:cs="Courier New" w:eastAsia="Courier New" w:hAnsi="Courier New"/>
          <w:color w:val="D4E6F1"/>
          <w:sz w:val="18"/>
          <w:szCs w:val="18"/>
        </w:rPr>
        <w:t xml:space="preserve">    r.hset(redis_key, mapping={</w:t>
      </w:r>
    </w:p>
    <w:p>
      <w:pPr>
        <w:shd w:fill="1E2A3A" w:val="clear"/>
        <w:spacing w:after="0" w:before="0"/>
        <w:ind w:left="360" w:right="360"/>
      </w:pPr>
      <w:r>
        <w:rPr>
          <w:rFonts w:ascii="Courier New" w:cs="Courier New" w:eastAsia="Courier New" w:hAnsi="Courier New"/>
          <w:color w:val="D4E6F1"/>
          <w:sz w:val="18"/>
          <w:szCs w:val="18"/>
        </w:rPr>
        <w:t xml:space="preserve">        'status':     status,</w:t>
      </w:r>
    </w:p>
    <w:p>
      <w:pPr>
        <w:shd w:fill="1E2A3A" w:val="clear"/>
        <w:spacing w:after="0" w:before="0"/>
        <w:ind w:left="360" w:right="360"/>
      </w:pPr>
      <w:r>
        <w:rPr>
          <w:rFonts w:ascii="Courier New" w:cs="Courier New" w:eastAsia="Courier New" w:hAnsi="Courier New"/>
          <w:color w:val="D4E6F1"/>
          <w:sz w:val="18"/>
          <w:szCs w:val="18"/>
        </w:rPr>
        <w:t xml:space="preserve">        'lastUpdate': manifest.get('lastUpdate', ''),</w:t>
      </w:r>
    </w:p>
    <w:p>
      <w:pPr>
        <w:shd w:fill="1E2A3A" w:val="clear"/>
        <w:spacing w:after="0" w:before="0"/>
        <w:ind w:left="360" w:right="360"/>
      </w:pPr>
      <w:r>
        <w:rPr>
          <w:rFonts w:ascii="Courier New" w:cs="Courier New" w:eastAsia="Courier New" w:hAnsi="Courier New"/>
          <w:color w:val="D4E6F1"/>
          <w:sz w:val="18"/>
          <w:szCs w:val="18"/>
        </w:rPr>
        <w:t xml:space="preserve">        'endTime':    manifest.get('endTime',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emit_getafe_event(manifest)</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def emit_getafe_event(manifest: dict) -&gt; None:</w:t>
      </w:r>
    </w:p>
    <w:p>
      <w:pPr>
        <w:shd w:fill="1E2A3A" w:val="clear"/>
        <w:spacing w:after="0" w:before="0"/>
        <w:ind w:left="360" w:right="360"/>
      </w:pPr>
      <w:r>
        <w:rPr>
          <w:rFonts w:ascii="Courier New" w:cs="Courier New" w:eastAsia="Courier New" w:hAnsi="Courier New"/>
          <w:color w:val="D4E6F1"/>
          <w:sz w:val="18"/>
          <w:szCs w:val="18"/>
        </w:rPr>
        <w:t xml:space="preserve">    """Publish an aggregated lifecycle event to GETAFE."""</w:t>
      </w:r>
    </w:p>
    <w:p>
      <w:pPr>
        <w:shd w:fill="1E2A3A" w:val="clear"/>
        <w:spacing w:after="0" w:before="0"/>
        <w:ind w:left="360" w:right="360"/>
      </w:pPr>
      <w:r>
        <w:rPr>
          <w:rFonts w:ascii="Courier New" w:cs="Courier New" w:eastAsia="Courier New" w:hAnsi="Courier New"/>
          <w:color w:val="D4E6F1"/>
          <w:sz w:val="18"/>
          <w:szCs w:val="18"/>
        </w:rPr>
        <w:t xml:space="preserve">    event = {</w:t>
      </w:r>
    </w:p>
    <w:p>
      <w:pPr>
        <w:shd w:fill="1E2A3A" w:val="clear"/>
        <w:spacing w:after="0" w:before="0"/>
        <w:ind w:left="360" w:right="360"/>
      </w:pPr>
      <w:r>
        <w:rPr>
          <w:rFonts w:ascii="Courier New" w:cs="Courier New" w:eastAsia="Courier New" w:hAnsi="Courier New"/>
          <w:color w:val="D4E6F1"/>
          <w:sz w:val="18"/>
          <w:szCs w:val="18"/>
        </w:rPr>
        <w:t xml:space="preserve">        'source':    'xena-laas',</w:t>
      </w:r>
    </w:p>
    <w:p>
      <w:pPr>
        <w:shd w:fill="1E2A3A" w:val="clear"/>
        <w:spacing w:after="0" w:before="0"/>
        <w:ind w:left="360" w:right="360"/>
      </w:pPr>
      <w:r>
        <w:rPr>
          <w:rFonts w:ascii="Courier New" w:cs="Courier New" w:eastAsia="Courier New" w:hAnsi="Courier New"/>
          <w:color w:val="D4E6F1"/>
          <w:sz w:val="18"/>
          <w:szCs w:val="18"/>
        </w:rPr>
        <w:t xml:space="preserve">        'eventType': f"JOB_{manifest['status']}",</w:t>
      </w:r>
    </w:p>
    <w:p>
      <w:pPr>
        <w:shd w:fill="1E2A3A" w:val="clear"/>
        <w:spacing w:after="0" w:before="0"/>
        <w:ind w:left="360" w:right="360"/>
      </w:pPr>
      <w:r>
        <w:rPr>
          <w:rFonts w:ascii="Courier New" w:cs="Courier New" w:eastAsia="Courier New" w:hAnsi="Courier New"/>
          <w:color w:val="D4E6F1"/>
          <w:sz w:val="18"/>
          <w:szCs w:val="18"/>
        </w:rPr>
        <w:t xml:space="preserve">        'jobId':     manifest['jobId'],</w:t>
      </w:r>
    </w:p>
    <w:p>
      <w:pPr>
        <w:shd w:fill="1E2A3A" w:val="clear"/>
        <w:spacing w:after="0" w:before="0"/>
        <w:ind w:left="360" w:right="360"/>
      </w:pPr>
      <w:r>
        <w:rPr>
          <w:rFonts w:ascii="Courier New" w:cs="Courier New" w:eastAsia="Courier New" w:hAnsi="Courier New"/>
          <w:color w:val="D4E6F1"/>
          <w:sz w:val="18"/>
          <w:szCs w:val="18"/>
        </w:rPr>
        <w:t xml:space="preserve">        'jobType':   manifest.get('jobType', 'unknown'),</w:t>
      </w:r>
    </w:p>
    <w:p>
      <w:pPr>
        <w:shd w:fill="1E2A3A" w:val="clear"/>
        <w:spacing w:after="0" w:before="0"/>
        <w:ind w:left="360" w:right="360"/>
      </w:pPr>
      <w:r>
        <w:rPr>
          <w:rFonts w:ascii="Courier New" w:cs="Courier New" w:eastAsia="Courier New" w:hAnsi="Courier New"/>
          <w:color w:val="D4E6F1"/>
          <w:sz w:val="18"/>
          <w:szCs w:val="18"/>
        </w:rPr>
        <w:t xml:space="preserve">        'timestamp': datetime.now(timezone.utc).isoformat(),</w:t>
      </w:r>
    </w:p>
    <w:p>
      <w:pPr>
        <w:shd w:fill="1E2A3A" w:val="clear"/>
        <w:spacing w:after="0" w:before="0"/>
        <w:ind w:left="360" w:right="360"/>
      </w:pPr>
      <w:r>
        <w:rPr>
          <w:rFonts w:ascii="Courier New" w:cs="Courier New" w:eastAsia="Courier New" w:hAnsi="Courier New"/>
          <w:color w:val="D4E6F1"/>
          <w:sz w:val="18"/>
          <w:szCs w:val="18"/>
        </w:rPr>
        <w:t xml:space="preserve">        'payload':   manifest,</w:t>
      </w:r>
    </w:p>
    <w:p>
      <w:pPr>
        <w:shd w:fill="1E2A3A" w:val="clear"/>
        <w:spacing w:after="0" w:before="0"/>
        <w:ind w:left="360" w:right="360"/>
      </w:pPr>
      <w:r>
        <w:rPr>
          <w:rFonts w:ascii="Courier New" w:cs="Courier New" w:eastAsia="Courier New" w:hAnsi="Courier New"/>
          <w:color w:val="D4E6F1"/>
          <w:sz w:val="18"/>
          <w:szCs w:val="18"/>
        </w:rPr>
        <w:t xml:space="preserve">    }</w:t>
      </w:r>
    </w:p>
    <w:p>
      <w:pPr>
        <w:shd w:fill="1E2A3A" w:val="clear"/>
        <w:spacing w:after="0" w:before="0"/>
        <w:ind w:left="360" w:right="360"/>
      </w:pPr>
      <w:r>
        <w:rPr>
          <w:rFonts w:ascii="Courier New" w:cs="Courier New" w:eastAsia="Courier New" w:hAnsi="Courier New"/>
          <w:color w:val="D4E6F1"/>
          <w:sz w:val="18"/>
          <w:szCs w:val="18"/>
        </w:rPr>
        <w:t xml:space="preserve">    # publish(event) → Kafka / EventBridge</w:t>
      </w:r>
    </w:p>
    <w:p>
      <w:pPr>
        <w:spacing w:after="160"/>
      </w:pPr>
    </w:p>
    <w:p>
      <w:pPr>
        <w:pStyle w:val="Heading1"/>
        <w:spacing w:after="200" w:before="360"/>
      </w:pPr>
      <w:r>
        <w:rPr>
          <w:rFonts w:ascii="Calibri" w:cs="Calibri" w:eastAsia="Calibri" w:hAnsi="Calibri"/>
          <w:b/>
          <w:bCs/>
          <w:color w:val="FFFFFF"/>
          <w:sz w:val="32"/>
          <w:szCs w:val="32"/>
        </w:rPr>
        <w:t xml:space="preserve">14. Observability and Monitoring</w:t>
      </w:r>
    </w:p>
    <w:p>
      <w:pPr>
        <w:pStyle w:val="Heading2"/>
        <w:spacing w:after="120" w:before="280"/>
      </w:pPr>
      <w:r>
        <w:rPr>
          <w:rFonts w:ascii="Calibri" w:cs="Calibri" w:eastAsia="Calibri" w:hAnsi="Calibri"/>
          <w:b/>
          <w:bCs/>
          <w:color w:val="1F3864"/>
          <w:sz w:val="26"/>
          <w:szCs w:val="26"/>
        </w:rPr>
        <w:t xml:space="preserve">14.1  GETAFE Integration</w:t>
      </w:r>
    </w:p>
    <w:p>
      <w:pPr>
        <w:spacing w:after="120"/>
      </w:pPr>
      <w:r>
        <w:rPr>
          <w:rFonts w:ascii="Calibri" w:cs="Calibri" w:eastAsia="Calibri" w:hAnsi="Calibri"/>
          <w:sz w:val="20"/>
          <w:szCs w:val="20"/>
        </w:rPr>
        <w:t xml:space="preserve">XENA emits aggregated events to GETAFE for the following lifecycle transitions:</w:t>
      </w:r>
    </w:p>
    <w:p>
      <w:pPr>
        <w:pStyle w:val="ListParagraph"/>
        <w:numPr>
          <w:ilvl w:val="0"/>
          <w:numId w:val="2"/>
        </w:numPr>
        <w:spacing w:after="80"/>
      </w:pPr>
      <w:r>
        <w:rPr>
          <w:rFonts w:ascii="Calibri" w:cs="Calibri" w:eastAsia="Calibri" w:hAnsi="Calibri"/>
          <w:sz w:val="20"/>
          <w:szCs w:val="20"/>
        </w:rPr>
        <w:t xml:space="preserve">DISPATCHED — job received and forwarded to GRID</w:t>
      </w:r>
    </w:p>
    <w:p>
      <w:pPr>
        <w:pStyle w:val="ListParagraph"/>
        <w:numPr>
          <w:ilvl w:val="0"/>
          <w:numId w:val="2"/>
        </w:numPr>
        <w:spacing w:after="80"/>
      </w:pPr>
      <w:r>
        <w:rPr>
          <w:rFonts w:ascii="Calibri" w:cs="Calibri" w:eastAsia="Calibri" w:hAnsi="Calibri"/>
          <w:sz w:val="20"/>
          <w:szCs w:val="20"/>
        </w:rPr>
        <w:t xml:space="preserve">IN_PROGRESS — _progress.json received</w:t>
      </w:r>
    </w:p>
    <w:p>
      <w:pPr>
        <w:pStyle w:val="ListParagraph"/>
        <w:numPr>
          <w:ilvl w:val="0"/>
          <w:numId w:val="2"/>
        </w:numPr>
        <w:spacing w:after="80"/>
      </w:pPr>
      <w:r>
        <w:rPr>
          <w:rFonts w:ascii="Calibri" w:cs="Calibri" w:eastAsia="Calibri" w:hAnsi="Calibri"/>
          <w:sz w:val="20"/>
          <w:szCs w:val="20"/>
        </w:rPr>
        <w:t xml:space="preserve">COMPLETED — manifest.json received with status COMPLETED</w:t>
      </w:r>
    </w:p>
    <w:p>
      <w:pPr>
        <w:pStyle w:val="ListParagraph"/>
        <w:numPr>
          <w:ilvl w:val="0"/>
          <w:numId w:val="2"/>
        </w:numPr>
        <w:spacing w:after="80"/>
      </w:pPr>
      <w:r>
        <w:rPr>
          <w:rFonts w:ascii="Calibri" w:cs="Calibri" w:eastAsia="Calibri" w:hAnsi="Calibri"/>
          <w:sz w:val="20"/>
          <w:szCs w:val="20"/>
        </w:rPr>
        <w:t xml:space="preserve">FAILED — error artifact detected</w:t>
      </w:r>
    </w:p>
    <w:p>
      <w:pPr>
        <w:spacing w:after="80"/>
      </w:pPr>
    </w:p>
    <w:p>
      <w:pPr>
        <w:spacing w:after="120"/>
      </w:pPr>
      <w:r>
        <w:rPr>
          <w:rFonts w:ascii="Calibri" w:cs="Calibri" w:eastAsia="Calibri" w:hAnsi="Calibri"/>
          <w:sz w:val="20"/>
          <w:szCs w:val="20"/>
        </w:rPr>
        <w:t xml:space="preserve">This enables real-time dashboards, historical analysis, operational observability, and SLA tracking — without emitting individual deal-level events.</w:t>
      </w:r>
    </w:p>
    <w:p>
      <w:pPr>
        <w:pStyle w:val="Heading2"/>
        <w:spacing w:after="120" w:before="280"/>
      </w:pPr>
      <w:r>
        <w:rPr>
          <w:rFonts w:ascii="Calibri" w:cs="Calibri" w:eastAsia="Calibri" w:hAnsi="Calibri"/>
          <w:b/>
          <w:bCs/>
          <w:color w:val="1F3864"/>
          <w:sz w:val="26"/>
          <w:szCs w:val="26"/>
        </w:rPr>
        <w:t xml:space="preserve">14.2  Why Deal-Level Events Are Not Emitted</w:t>
      </w:r>
    </w:p>
    <w:p>
      <w:pPr>
        <w:spacing w:after="120"/>
      </w:pPr>
      <w:r>
        <w:rPr>
          <w:rFonts w:ascii="Calibri" w:cs="Calibri" w:eastAsia="Calibri" w:hAnsi="Calibri"/>
          <w:sz w:val="20"/>
          <w:szCs w:val="20"/>
        </w:rPr>
        <w:t xml:space="preserve">Emitting a GETAFE event per deal would dramatically increase Kafka traffic, Elasticsearch indexing volume, and Kibana storage growth. The architecture intentionally emits aggregated execution information at the NettingSet and book level, providing complete execution visibility at a fraction of the infrastructure cost.</w:t>
      </w:r>
    </w:p>
    <w:p>
      <w:pPr>
        <w:pStyle w:val="Heading1"/>
        <w:spacing w:after="200" w:before="360"/>
      </w:pPr>
      <w:r>
        <w:rPr>
          <w:rFonts w:ascii="Calibri" w:cs="Calibri" w:eastAsia="Calibri" w:hAnsi="Calibri"/>
          <w:b/>
          <w:bCs/>
          <w:color w:val="FFFFFF"/>
          <w:sz w:val="32"/>
          <w:szCs w:val="32"/>
        </w:rPr>
        <w:t xml:space="preserve">15. Architectural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Benefit</w:t>
            </w:r>
          </w:p>
        </w:tc>
        <w:tc>
          <w:tcPr>
            <w:tcW w:type="dxa" w:w="656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Detail</w:t>
            </w:r>
          </w:p>
        </w:tc>
      </w:tr>
      <w:tr>
        <w:tc>
          <w:tcPr>
            <w:tcW w:type="dxa" w:w="28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Universal orchestration</w:t>
            </w:r>
          </w:p>
        </w:tc>
        <w:tc>
          <w:tcPr>
            <w:tcW w:type="dxa" w:w="65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XENA remains generic; future libraries onboard without changing orchestration logic</w:t>
            </w:r>
          </w:p>
        </w:tc>
      </w:tr>
      <w:tr>
        <w:tc>
          <w:tcPr>
            <w:tcW w:type="dxa" w:w="28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Performance</w:t>
            </w:r>
          </w:p>
        </w:tc>
        <w:tc>
          <w:tcPr>
            <w:tcW w:type="dxa" w:w="65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No per-deal Lambda invocations or S3 scanning; Redis counters handle massive parallelism</w:t>
            </w:r>
          </w:p>
        </w:tc>
      </w:tr>
      <w:tr>
        <w:tc>
          <w:tcPr>
            <w:tcW w:type="dxa" w:w="28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Operational simplicity</w:t>
            </w:r>
          </w:p>
        </w:tc>
        <w:tc>
          <w:tcPr>
            <w:tcW w:type="dxa" w:w="65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No new services beyond S3, SQS, Redis, and Lambda</w:t>
            </w:r>
          </w:p>
        </w:tc>
      </w:tr>
      <w:tr>
        <w:tc>
          <w:tcPr>
            <w:tcW w:type="dxa" w:w="28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Loose coupling</w:t>
            </w:r>
          </w:p>
        </w:tc>
        <w:tc>
          <w:tcPr>
            <w:tcW w:type="dxa" w:w="65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Shared-storage avoids tight runtime dependencies and stateful middleware</w:t>
            </w:r>
          </w:p>
        </w:tc>
      </w:tr>
      <w:tr>
        <w:tc>
          <w:tcPr>
            <w:tcW w:type="dxa" w:w="28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Scalability</w:t>
            </w:r>
          </w:p>
        </w:tc>
        <w:tc>
          <w:tcPr>
            <w:tcW w:type="dxa" w:w="65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Atomic Redis counters handle thousands of concurrent GRID workers safely</w:t>
            </w:r>
          </w:p>
        </w:tc>
      </w:tr>
      <w:tr>
        <w:tc>
          <w:tcPr>
            <w:tcW w:type="dxa" w:w="28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Cross-account support</w:t>
            </w:r>
          </w:p>
        </w:tc>
        <w:tc>
          <w:tcPr>
            <w:tcW w:type="dxa" w:w="65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AWS STS AssumeRole and bucket policies enable secure multi-account execution</w:t>
            </w:r>
          </w:p>
        </w:tc>
      </w:tr>
      <w:tr>
        <w:tc>
          <w:tcPr>
            <w:tcW w:type="dxa" w:w="28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Future extensibility</w:t>
            </w:r>
          </w:p>
        </w:tc>
        <w:tc>
          <w:tcPr>
            <w:tcW w:type="dxa" w:w="65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Architecture may evolve toward a universal partition_manifest.json abstraction if additional libraries require partial completion orchestration</w:t>
            </w:r>
          </w:p>
        </w:tc>
      </w:tr>
    </w:tbl>
    <w:p>
      <w:pPr>
        <w:spacing w:after="160"/>
      </w:pPr>
    </w:p>
    <w:p>
      <w:pPr>
        <w:pStyle w:val="Heading1"/>
        <w:spacing w:after="200" w:before="360"/>
      </w:pPr>
      <w:r>
        <w:rPr>
          <w:rFonts w:ascii="Calibri" w:cs="Calibri" w:eastAsia="Calibri" w:hAnsi="Calibri"/>
          <w:b/>
          <w:bCs/>
          <w:color w:val="FFFFFF"/>
          <w:sz w:val="32"/>
          <w:szCs w:val="32"/>
        </w:rPr>
        <w:t xml:space="preserve">16. Final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Concern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60"/>
              <w:bottom w:type="dxa" w:w="80"/>
              <w:right w:type="dxa" w:w="160"/>
            </w:tcMar>
            <w:vAlign w:val="center"/>
          </w:tcPr>
          <w:p>
            <w:r>
              <w:rPr>
                <w:rFonts w:ascii="Calibri" w:cs="Calibri" w:eastAsia="Calibri" w:hAnsi="Calibri"/>
                <w:b/>
                <w:bCs/>
                <w:color w:val="FFFFFF"/>
                <w:sz w:val="18"/>
                <w:szCs w:val="18"/>
              </w:rPr>
              <w:t xml:space="preserve">Decision</w:t>
            </w:r>
          </w:p>
        </w:tc>
      </w:tr>
      <w:tr>
        <w:tc>
          <w:tcPr>
            <w:tcW w:type="dxa" w:w="36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NettingSet aggregation</w:t>
            </w:r>
          </w:p>
        </w:tc>
        <w:tc>
          <w:tcPr>
            <w:tcW w:type="dxa" w:w="57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GRID/XDE responsibility</w:t>
            </w:r>
          </w:p>
        </w:tc>
      </w:tr>
      <w:tr>
        <w:tc>
          <w:tcPr>
            <w:tcW w:type="dxa" w:w="36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Deal counting</w:t>
            </w:r>
          </w:p>
        </w:tc>
        <w:tc>
          <w:tcPr>
            <w:tcW w:type="dxa" w:w="57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Redis atomic HINCRBY counters</w:t>
            </w:r>
          </w:p>
        </w:tc>
      </w:tr>
      <w:tr>
        <w:tc>
          <w:tcPr>
            <w:tcW w:type="dxa" w:w="36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Completion guard</w:t>
            </w:r>
          </w:p>
        </w:tc>
        <w:tc>
          <w:tcPr>
            <w:tcW w:type="dxa" w:w="57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Redis SETNX — single writer guaranteed</w:t>
            </w:r>
          </w:p>
        </w:tc>
      </w:tr>
      <w:tr>
        <w:tc>
          <w:tcPr>
            <w:tcW w:type="dxa" w:w="36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Completion signaling</w:t>
            </w:r>
          </w:p>
        </w:tc>
        <w:tc>
          <w:tcPr>
            <w:tcW w:type="dxa" w:w="57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GRID writes nettingset_manifest.json to S3</w:t>
            </w:r>
          </w:p>
        </w:tc>
      </w:tr>
      <w:tr>
        <w:tc>
          <w:tcPr>
            <w:tcW w:type="dxa" w:w="36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XENA orchestration</w:t>
            </w:r>
          </w:p>
        </w:tc>
        <w:tc>
          <w:tcPr>
            <w:tcW w:type="dxa" w:w="57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Remains fully generic and library-agnostic</w:t>
            </w:r>
          </w:p>
        </w:tc>
      </w:tr>
      <w:tr>
        <w:tc>
          <w:tcPr>
            <w:tcW w:type="dxa" w:w="36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Deal-level S3 events</w:t>
            </w:r>
          </w:p>
        </w:tc>
        <w:tc>
          <w:tcPr>
            <w:tcW w:type="dxa" w:w="57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Rejected — event explosion risk</w:t>
            </w:r>
          </w:p>
        </w:tc>
      </w:tr>
      <w:tr>
        <w:tc>
          <w:tcPr>
            <w:tcW w:type="dxa" w:w="36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Additional database</w:t>
            </w:r>
          </w:p>
        </w:tc>
        <w:tc>
          <w:tcPr>
            <w:tcW w:type="dxa" w:w="57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Not required for MVP</w:t>
            </w:r>
          </w:p>
        </w:tc>
      </w:tr>
      <w:tr>
        <w:tc>
          <w:tcPr>
            <w:tcW w:type="dxa" w:w="36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Event model</w:t>
            </w:r>
          </w:p>
        </w:tc>
        <w:tc>
          <w:tcPr>
            <w:tcW w:type="dxa" w:w="57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Aggregated only (book + NettingSet level)</w:t>
            </w:r>
          </w:p>
        </w:tc>
      </w:tr>
      <w:tr>
        <w:tc>
          <w:tcPr>
            <w:tcW w:type="dxa" w:w="360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Shared-storage model</w:t>
            </w:r>
          </w:p>
        </w:tc>
        <w:tc>
          <w:tcPr>
            <w:tcW w:type="dxa" w:w="5760"/>
            <w:tcBorders>
              <w:top w:val="single" w:color="BDC7D8" w:sz="1"/>
              <w:left w:val="single" w:color="BDC7D8" w:sz="1"/>
              <w:bottom w:val="single" w:color="BDC7D8" w:sz="1"/>
              <w:right w:val="single" w:color="BDC7D8" w:sz="1"/>
            </w:tcBorders>
            <w:shd w:fill="EEF4FB"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Maintained as primary communication layer</w:t>
            </w:r>
          </w:p>
        </w:tc>
      </w:tr>
      <w:tr>
        <w:tc>
          <w:tcPr>
            <w:tcW w:type="dxa" w:w="360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bCs/>
                <w:color w:val="000000"/>
                <w:sz w:val="18"/>
                <w:szCs w:val="18"/>
              </w:rPr>
              <w:t xml:space="preserve">Cross-account execution</w:t>
            </w:r>
          </w:p>
        </w:tc>
        <w:tc>
          <w:tcPr>
            <w:tcW w:type="dxa" w:w="5760"/>
            <w:tcBorders>
              <w:top w:val="single" w:color="BDC7D8" w:sz="1"/>
              <w:left w:val="single" w:color="BDC7D8" w:sz="1"/>
              <w:bottom w:val="single" w:color="BDC7D8" w:sz="1"/>
              <w:right w:val="single" w:color="BDC7D8"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000000"/>
                <w:sz w:val="18"/>
                <w:szCs w:val="18"/>
              </w:rPr>
              <w:t xml:space="preserve">Supported via STS AssumeRole</w:t>
            </w:r>
          </w:p>
        </w:tc>
      </w:tr>
    </w:tbl>
    <w:p>
      <w:pPr>
        <w:spacing w:after="160"/>
      </w:pPr>
    </w:p>
    <w:p>
      <w:pPr>
        <w:pStyle w:val="Heading1"/>
        <w:spacing w:after="200" w:before="360"/>
      </w:pPr>
      <w:r>
        <w:rPr>
          <w:rFonts w:ascii="Calibri" w:cs="Calibri" w:eastAsia="Calibri" w:hAnsi="Calibri"/>
          <w:b/>
          <w:bCs/>
          <w:color w:val="FFFFFF"/>
          <w:sz w:val="32"/>
          <w:szCs w:val="32"/>
        </w:rPr>
        <w:t xml:space="preserve">17. Conclusion</w:t>
      </w:r>
    </w:p>
    <w:p>
      <w:pPr>
        <w:spacing w:after="120"/>
      </w:pPr>
      <w:r>
        <w:rPr>
          <w:rFonts w:ascii="Calibri" w:cs="Calibri" w:eastAsia="Calibri" w:hAnsi="Calibri"/>
          <w:sz w:val="20"/>
          <w:szCs w:val="20"/>
        </w:rPr>
        <w:t xml:space="preserve">The proposed architecture extends the XENA LaaS platform while preserving its foundational architectural principles. The solution intentionally separates generic orchestration responsibilities from domain-specific execution semantics.</w:t>
      </w:r>
    </w:p>
    <w:p>
      <w:pPr>
        <w:spacing w:after="120"/>
      </w:pPr>
      <w:r>
        <w:rPr>
          <w:rFonts w:ascii="Calibri" w:cs="Calibri" w:eastAsia="Calibri" w:hAnsi="Calibri"/>
          <w:sz w:val="20"/>
          <w:szCs w:val="20"/>
        </w:rPr>
        <w:t xml:space="preserve">XENA remains a universal orchestration platform. GRID/XDE remains responsible for execution-specific aggregation and completion logic. The resulting design provides high throughput, low orchestration complexity, massive parallel scalability, clear responsibility boundaries, minimal operational overhead, cross-account interoperability, and future extensibility — without compromising the original XENA LaaS architecture.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7D8" w:sz="4"/>
      </w:pBdr>
      <w:spacing w:before="0"/>
    </w:pPr>
    <w:r>
      <w:rPr>
        <w:rFonts w:ascii="Calibri" w:cs="Calibri" w:eastAsia="Calibri" w:hAnsi="Calibri"/>
        <w:color w:val="BDC7D8"/>
        <w:sz w:val="16"/>
        <w:szCs w:val="16"/>
      </w:rPr>
      <w:t xml:space="preserve">Architecture Design Document · v1.0</w:t>
    </w:r>
    <w:r>
      <w:rPr>
        <w:rFonts w:ascii="Calibri" w:cs="Calibri" w:eastAsia="Calibri" w:hAnsi="Calibri"/>
        <w:color w:val="BDC7D8"/>
        <w:sz w:val="16"/>
        <w:szCs w:val="16"/>
      </w:rPr>
      <w:t xml:space="preserve">    Page </w:t>
    </w:r>
    <w:r>
      <w:rPr>
        <w:rFonts w:ascii="Calibri" w:cs="Calibri" w:eastAsia="Calibri" w:hAnsi="Calibri"/>
        <w:color w:val="BDC7D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spacing w:after="0"/>
    </w:pPr>
    <w:r>
      <w:rPr>
        <w:rFonts w:ascii="Calibri" w:cs="Calibri" w:eastAsia="Calibri" w:hAnsi="Calibri"/>
        <w:b/>
        <w:bCs/>
        <w:color w:val="1F3864"/>
        <w:sz w:val="16"/>
        <w:szCs w:val="16"/>
      </w:rPr>
      <w:t xml:space="preserve">XENA LaaS — NettingSet Completion Signaling Architecture</w:t>
    </w:r>
    <w:r>
      <w:rPr>
        <w:rFonts w:ascii="Calibri" w:cs="Calibri" w:eastAsia="Calibri" w:hAnsi="Calibri"/>
        <w:color w:val="C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200" w:before="360"/>
      <w:ind w:left="360" w:right="360"/>
      <w:outlineLvl w:val="0"/>
    </w:pPr>
    <w:rPr>
      <w:rFonts w:ascii="Calibri" w:cs="Calibri" w:eastAsia="Calibri" w:hAnsi="Calibri"/>
      <w:b/>
      <w:bCs/>
      <w:color w:val="FFFFFF"/>
      <w:sz w:val="32"/>
      <w:szCs w:val="32"/>
    </w:rPr>
  </w:style>
  <w:style w:type="paragraph" w:styleId="Heading2">
    <w:name w:val="Heading 2"/>
    <w:basedOn w:val="Normal"/>
    <w:next w:val="Normal"/>
    <w:qFormat/>
    <w:pPr>
      <w:pBdr>
        <w:bottom w:val="single" w:color="2E6EBF" w:sz="4"/>
      </w:pBdr>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6E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2026-05-21T05:07:19.952Z</dcterms:created>
  <dcterms:modified xsi:type="dcterms:W3CDTF">2026-05-21T05:07:19.952Z</dcterms:modified>
</cp:coreProperties>
</file>

<file path=docProps/custom.xml><?xml version="1.0" encoding="utf-8"?>
<Properties xmlns="http://schemas.openxmlformats.org/officeDocument/2006/custom-properties" xmlns:vt="http://schemas.openxmlformats.org/officeDocument/2006/docPropsVTypes"/>
</file>