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2880" w:lineRule="auto"/>
        <w:jc w:val="center"/>
        <w:rPr>
          <w:rFonts w:ascii="Arial" w:cs="Arial" w:eastAsia="Arial" w:hAnsi="Arial"/>
        </w:rPr>
      </w:pPr>
      <w:r w:rsidDel="00000000" w:rsidR="00000000" w:rsidRPr="00000000">
        <w:rPr>
          <w:rFonts w:ascii="Arial" w:cs="Arial" w:eastAsia="Arial" w:hAnsi="Arial"/>
          <w:b w:val="1"/>
          <w:bCs w:val="1"/>
          <w:color w:val="1f4e78"/>
          <w:sz w:val="52"/>
          <w:szCs w:val="52"/>
          <w:rtl w:val="0"/>
        </w:rPr>
        <w:t xml:space="preserve">Multi-Cloud versus Multi-Region Architecture</w:t>
      </w:r>
      <w:r w:rsidDel="00000000" w:rsidR="00000000" w:rsidRPr="00000000">
        <w:rPr>
          <w:rtl w:val="0"/>
        </w:rPr>
      </w:r>
    </w:p>
    <w:p w:rsidR="00000000" w:rsidDel="00000000" w:rsidP="00000000" w:rsidRDefault="00000000" w:rsidRPr="00000000" w14:paraId="00000002">
      <w:pPr>
        <w:spacing w:after="240" w:lineRule="auto"/>
        <w:jc w:val="center"/>
        <w:rPr>
          <w:rFonts w:ascii="Arial" w:cs="Arial" w:eastAsia="Arial" w:hAnsi="Arial"/>
        </w:rPr>
      </w:pPr>
      <w:r w:rsidDel="00000000" w:rsidR="00000000" w:rsidRPr="00000000">
        <w:rPr>
          <w:rFonts w:ascii="Arial" w:cs="Arial" w:eastAsia="Arial" w:hAnsi="Arial"/>
          <w:color w:val="44546a"/>
          <w:sz w:val="32"/>
          <w:szCs w:val="32"/>
          <w:rtl w:val="0"/>
        </w:rPr>
        <w:t xml:space="preserve">A Strategic Framework for Operational Resilience</w:t>
      </w:r>
      <w:r w:rsidDel="00000000" w:rsidR="00000000" w:rsidRPr="00000000">
        <w:rPr>
          <w:rtl w:val="0"/>
        </w:rPr>
      </w:r>
    </w:p>
    <w:p w:rsidR="00000000" w:rsidDel="00000000" w:rsidP="00000000" w:rsidRDefault="00000000" w:rsidRPr="00000000" w14:paraId="00000003">
      <w:pPr>
        <w:spacing w:after="1920" w:lineRule="auto"/>
        <w:jc w:val="center"/>
        <w:rPr>
          <w:rFonts w:ascii="Arial" w:cs="Arial" w:eastAsia="Arial" w:hAnsi="Arial"/>
        </w:rPr>
      </w:pPr>
      <w:r w:rsidDel="00000000" w:rsidR="00000000" w:rsidRPr="00000000">
        <w:rPr>
          <w:rFonts w:ascii="Arial" w:cs="Arial" w:eastAsia="Arial" w:hAnsi="Arial"/>
          <w:i w:val="1"/>
          <w:iCs w:val="1"/>
          <w:color w:val="44546a"/>
          <w:sz w:val="24"/>
          <w:szCs w:val="24"/>
          <w:rtl w:val="0"/>
        </w:rPr>
        <w:t xml:space="preserve">Comprehensive Technical and Business Analysis</w:t>
      </w:r>
      <w:r w:rsidDel="00000000" w:rsidR="00000000" w:rsidRPr="00000000">
        <w:rPr>
          <w:rtl w:val="0"/>
        </w:rPr>
      </w:r>
    </w:p>
    <w:p w:rsidR="00000000" w:rsidDel="00000000" w:rsidP="00000000" w:rsidRDefault="00000000" w:rsidRPr="00000000" w14:paraId="00000004">
      <w:pPr>
        <w:spacing w:after="24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Angel Corporate &amp; Investment Banking</w:t>
      </w:r>
      <w:r w:rsidDel="00000000" w:rsidR="00000000" w:rsidRPr="00000000">
        <w:rPr>
          <w:rtl w:val="0"/>
        </w:rPr>
      </w:r>
    </w:p>
    <w:p w:rsidR="00000000" w:rsidDel="00000000" w:rsidP="00000000" w:rsidRDefault="00000000" w:rsidRPr="00000000" w14:paraId="00000005">
      <w:pPr>
        <w:spacing w:after="960" w:lineRule="auto"/>
        <w:jc w:val="center"/>
        <w:rPr>
          <w:rFonts w:ascii="Arial" w:cs="Arial" w:eastAsia="Arial" w:hAnsi="Arial"/>
        </w:rPr>
      </w:pPr>
      <w:r w:rsidDel="00000000" w:rsidR="00000000" w:rsidRPr="00000000">
        <w:rPr>
          <w:rFonts w:ascii="Arial" w:cs="Arial" w:eastAsia="Arial" w:hAnsi="Arial"/>
          <w:sz w:val="24"/>
          <w:szCs w:val="24"/>
          <w:rtl w:val="0"/>
        </w:rPr>
        <w:t xml:space="preserve">Cloud Architecture Team</w:t>
      </w:r>
      <w:r w:rsidDel="00000000" w:rsidR="00000000" w:rsidRPr="00000000">
        <w:rPr>
          <w:rtl w:val="0"/>
        </w:rPr>
      </w:r>
    </w:p>
    <w:p w:rsidR="00000000" w:rsidDel="00000000" w:rsidP="00000000" w:rsidRDefault="00000000" w:rsidRPr="00000000" w14:paraId="00000006">
      <w:pPr>
        <w:spacing w:after="24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Version 3.0 – January 2026</w:t>
      </w:r>
      <w:r w:rsidDel="00000000" w:rsidR="00000000" w:rsidRPr="00000000">
        <w:rPr>
          <w:rtl w:val="0"/>
        </w:rPr>
      </w:r>
    </w:p>
    <w:p w:rsidR="00000000" w:rsidDel="00000000" w:rsidP="00000000" w:rsidRDefault="00000000" w:rsidRPr="00000000" w14:paraId="00000007">
      <w:pPr>
        <w:spacing w:after="480" w:lineRule="auto"/>
        <w:jc w:val="center"/>
        <w:rPr>
          <w:rFonts w:ascii="Arial" w:cs="Arial" w:eastAsia="Arial" w:hAnsi="Arial"/>
        </w:rPr>
      </w:pPr>
      <w:r w:rsidDel="00000000" w:rsidR="00000000" w:rsidRPr="00000000">
        <w:rPr>
          <w:rFonts w:ascii="Arial" w:cs="Arial" w:eastAsia="Arial" w:hAnsi="Arial"/>
          <w:b w:val="1"/>
          <w:bCs w:val="1"/>
          <w:color w:val="c00000"/>
          <w:sz w:val="24"/>
          <w:szCs w:val="24"/>
          <w:rtl w:val="0"/>
        </w:rPr>
        <w:t xml:space="preserve">Classification: Internal – Strategic</w: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rFonts w:ascii="Arial" w:cs="Arial" w:eastAsia="Arial" w:hAnsi="Arial"/>
        </w:rPr>
      </w:pPr>
      <w:r w:rsidDel="00000000" w:rsidR="00000000" w:rsidRPr="00000000">
        <w:rPr>
          <w:rFonts w:ascii="Arial" w:cs="Arial" w:eastAsia="Arial" w:hAnsi="Arial"/>
          <w:rtl w:val="0"/>
        </w:rPr>
        <w:t xml:space="preserve">Table of Contents</w:t>
      </w:r>
    </w:p>
    <w:sdt>
      <w:sdtPr>
        <w:id w:val="-1037657306"/>
        <w:docPartObj>
          <w:docPartGallery w:val="Table of Contents"/>
          <w:docPartUnique w:val="1"/>
        </w:docPartObj>
      </w:sdtPr>
      <w:sdtContent>
        <w:p w:rsidR="00000000" w:rsidDel="00000000" w:rsidP="00000000" w:rsidRDefault="00000000" w:rsidRPr="00000000" w14:paraId="0000000A">
          <w:pPr>
            <w:rPr>
              <w:rFonts w:ascii="Arial" w:cs="Arial" w:eastAsia="Arial" w:hAnsi="Arial"/>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rFonts w:ascii="Arial" w:cs="Arial" w:eastAsia="Arial" w:hAnsi="Arial"/>
        </w:rPr>
      </w:pPr>
      <w:r w:rsidDel="00000000" w:rsidR="00000000" w:rsidRPr="00000000">
        <w:rPr>
          <w:rFonts w:ascii="Arial" w:cs="Arial" w:eastAsia="Arial" w:hAnsi="Arial"/>
          <w:rtl w:val="0"/>
        </w:rPr>
        <w:t xml:space="preserve">Executive Summary</w:t>
      </w:r>
    </w:p>
    <w:p w:rsidR="00000000" w:rsidDel="00000000" w:rsidP="00000000" w:rsidRDefault="00000000" w:rsidRPr="00000000" w14:paraId="0000000E">
      <w:pPr>
        <w:pStyle w:val="Heading2"/>
        <w:rPr>
          <w:rFonts w:ascii="Arial" w:cs="Arial" w:eastAsia="Arial" w:hAnsi="Arial"/>
        </w:rPr>
      </w:pPr>
      <w:r w:rsidDel="00000000" w:rsidR="00000000" w:rsidRPr="00000000">
        <w:rPr>
          <w:rFonts w:ascii="Arial" w:cs="Arial" w:eastAsia="Arial" w:hAnsi="Arial"/>
          <w:rtl w:val="0"/>
        </w:rPr>
        <w:t xml:space="preserve">Core Thesis</w:t>
      </w:r>
    </w:p>
    <w:p w:rsidR="00000000" w:rsidDel="00000000" w:rsidP="00000000" w:rsidRDefault="00000000" w:rsidRPr="00000000" w14:paraId="0000000F">
      <w:pPr>
        <w:spacing w:after="200" w:lineRule="auto"/>
        <w:rPr>
          <w:rFonts w:ascii="Arial" w:cs="Arial" w:eastAsia="Arial" w:hAnsi="Arial"/>
        </w:rPr>
      </w:pPr>
      <w:r w:rsidDel="00000000" w:rsidR="00000000" w:rsidRPr="00000000">
        <w:rPr>
          <w:rFonts w:ascii="Arial" w:cs="Arial" w:eastAsia="Arial" w:hAnsi="Arial"/>
          <w:rtl w:val="0"/>
        </w:rPr>
        <w:t xml:space="preserve">Deploying applications across multiple geographic regions or cloud providers does not automatically establish operational resilience. True multi-region architecture demands external coordination, independent observation mechanisms, and automated orchestration capabilities that exist outside the application infrastructure boundary. Without these essential components, distributed deployments function as isolated systems incapable of automated failover, resulting in extended service interruptions and potential data loss during regional outages.</w:t>
      </w:r>
    </w:p>
    <w:p w:rsidR="00000000" w:rsidDel="00000000" w:rsidP="00000000" w:rsidRDefault="00000000" w:rsidRPr="00000000" w14:paraId="00000010">
      <w:pPr>
        <w:spacing w:after="200" w:lineRule="auto"/>
        <w:rPr>
          <w:rFonts w:ascii="Arial" w:cs="Arial" w:eastAsia="Arial" w:hAnsi="Arial"/>
        </w:rPr>
      </w:pPr>
      <w:r w:rsidDel="00000000" w:rsidR="00000000" w:rsidRPr="00000000">
        <w:rPr>
          <w:rFonts w:ascii="Arial" w:cs="Arial" w:eastAsia="Arial" w:hAnsi="Arial"/>
          <w:rtl w:val="0"/>
        </w:rPr>
        <w:t xml:space="preserve">This document provides Jose's CTO with a comprehensive technical and business framework for evaluating multi-region versus multi-cloud architectural strategies. The analysis includes quantitative cost modeling, regulatory compliance requirements under the Digital Operational Resilience Act (DORA), industry case studies from major cloud provider failures, operational risk assessment methodologies, and detailed implementation guidance based on authoritative industry sources including AWS Well-Architected Framework, Microsoft Azure Architecture Center, Google Site Reliability Engineering practices, and NIST cybersecurity standards.</w:t>
      </w:r>
    </w:p>
    <w:p w:rsidR="00000000" w:rsidDel="00000000" w:rsidP="00000000" w:rsidRDefault="00000000" w:rsidRPr="00000000" w14:paraId="00000011">
      <w:pPr>
        <w:pStyle w:val="Heading2"/>
        <w:rPr>
          <w:rFonts w:ascii="Arial" w:cs="Arial" w:eastAsia="Arial" w:hAnsi="Arial"/>
        </w:rPr>
      </w:pPr>
      <w:r w:rsidDel="00000000" w:rsidR="00000000" w:rsidRPr="00000000">
        <w:rPr>
          <w:rFonts w:ascii="Arial" w:cs="Arial" w:eastAsia="Arial" w:hAnsi="Arial"/>
          <w:rtl w:val="0"/>
        </w:rPr>
        <w:t xml:space="preserve">Strategic Recommendations</w:t>
      </w:r>
    </w:p>
    <w:p w:rsidR="00000000" w:rsidDel="00000000" w:rsidP="00000000" w:rsidRDefault="00000000" w:rsidRPr="00000000" w14:paraId="00000012">
      <w:pPr>
        <w:spacing w:after="200" w:lineRule="auto"/>
        <w:rPr>
          <w:rFonts w:ascii="Arial" w:cs="Arial" w:eastAsia="Arial" w:hAnsi="Arial"/>
        </w:rPr>
      </w:pPr>
      <w:r w:rsidDel="00000000" w:rsidR="00000000" w:rsidRPr="00000000">
        <w:rPr>
          <w:rFonts w:ascii="Arial" w:cs="Arial" w:eastAsia="Arial" w:hAnsi="Arial"/>
          <w:rtl w:val="0"/>
        </w:rPr>
        <w:t xml:space="preserve">Based on comprehensive quantitative and qualitative analysis, Jose should pursue a phased implementation approach beginning with multi-region architecture within existing cloud providers (AWS and Azure) before considering multi-cloud deployments. Multi-region deployments deliver approximately 90% of resilience benefits at 30% of the cost compared to multi-cloud alternatives, making them the optimal starting point for most workloads while building organizational capabilities and operational maturity.</w:t>
      </w:r>
    </w:p>
    <w:p w:rsidR="00000000" w:rsidDel="00000000" w:rsidP="00000000" w:rsidRDefault="00000000" w:rsidRPr="00000000" w14:paraId="00000013">
      <w:pPr>
        <w:spacing w:after="200" w:lineRule="auto"/>
        <w:rPr>
          <w:rFonts w:ascii="Arial" w:cs="Arial" w:eastAsia="Arial" w:hAnsi="Arial"/>
        </w:rPr>
      </w:pPr>
      <w:r w:rsidDel="00000000" w:rsidR="00000000" w:rsidRPr="00000000">
        <w:rPr>
          <w:rFonts w:ascii="Arial" w:cs="Arial" w:eastAsia="Arial" w:hAnsi="Arial"/>
          <w:rtl w:val="0"/>
        </w:rPr>
        <w:t xml:space="preserve">Multi-cloud architectures should be reserved for Tier 1 mission-critical applications where regulatory requirements explicitly mandate provider independence or where the business impact of provider-level outages exceeds the substantial additional investment required. DORA, which applies to Angel as a significant financial institution, requires assessment and management of ICT concentration risk, potentially necessitating multi-cloud strategies for specific critical systems.</w:t>
      </w:r>
    </w:p>
    <w:p w:rsidR="00000000" w:rsidDel="00000000" w:rsidP="00000000" w:rsidRDefault="00000000" w:rsidRPr="00000000" w14:paraId="00000014">
      <w:pPr>
        <w:pStyle w:val="Heading2"/>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015">
      <w:pPr>
        <w:spacing w:after="200" w:lineRule="auto"/>
        <w:rPr>
          <w:rFonts w:ascii="Arial" w:cs="Arial" w:eastAsia="Arial" w:hAnsi="Arial"/>
        </w:rPr>
      </w:pPr>
      <w:r w:rsidDel="00000000" w:rsidR="00000000" w:rsidRPr="00000000">
        <w:rPr>
          <w:rFonts w:ascii="Arial" w:cs="Arial" w:eastAsia="Arial" w:hAnsi="Arial"/>
          <w:rtl w:val="0"/>
        </w:rPr>
        <w:t xml:space="preserve">Distributed deployment without coordination mechanisms does not constitute multi-region resilience. Organizations maintaining independent regional deployments without external observation, traffic coordination, and state synchronization experience Recovery Time Objectives (RTO) exceeding 30 minutes, Recovery Point Objectives (RPO) measured in hours, and significant operational complexity during failover events. Manual failover procedures introduce human error risk and cannot respond with sufficient speed to maintain service level agreements for critical applications.</w:t>
      </w:r>
    </w:p>
    <w:p w:rsidR="00000000" w:rsidDel="00000000" w:rsidP="00000000" w:rsidRDefault="00000000" w:rsidRPr="00000000" w14:paraId="00000016">
      <w:pPr>
        <w:spacing w:after="200" w:lineRule="auto"/>
        <w:rPr>
          <w:rFonts w:ascii="Arial" w:cs="Arial" w:eastAsia="Arial" w:hAnsi="Arial"/>
        </w:rPr>
      </w:pPr>
      <w:r w:rsidDel="00000000" w:rsidR="00000000" w:rsidRPr="00000000">
        <w:rPr>
          <w:rFonts w:ascii="Arial" w:cs="Arial" w:eastAsia="Arial" w:hAnsi="Arial"/>
          <w:rtl w:val="0"/>
        </w:rPr>
        <w:t xml:space="preserve">External coordination requirements are non-negotiable for achieving true resilience. Successful multi-region architectures implement three essential external systems operating independently from application infrastructure: health observation infrastructure monitoring from multiple global vantage points, traffic coordination layers dynamically routing requests based on real-time health data, and state synchronization mechanisms ensuring data consistency and session continuity.</w:t>
      </w:r>
    </w:p>
    <w:p w:rsidR="00000000" w:rsidDel="00000000" w:rsidP="00000000" w:rsidRDefault="00000000" w:rsidRPr="00000000" w14:paraId="00000017">
      <w:pPr>
        <w:spacing w:after="200" w:lineRule="auto"/>
        <w:rPr>
          <w:rFonts w:ascii="Arial" w:cs="Arial" w:eastAsia="Arial" w:hAnsi="Arial"/>
        </w:rPr>
      </w:pPr>
      <w:r w:rsidDel="00000000" w:rsidR="00000000" w:rsidRPr="00000000">
        <w:rPr>
          <w:rFonts w:ascii="Arial" w:cs="Arial" w:eastAsia="Arial" w:hAnsi="Arial"/>
          <w:rtl w:val="0"/>
        </w:rPr>
        <w:t xml:space="preserve">Economic analysis reveals substantial cost differentials. Multi-cloud architectures introduce cost multipliers of 2-3x compared to single-provider multi-region deployments, driven primarily by cross-provider data egress fees ($0.09/GB AWS-to-Azure versus $0.02/GB AWS-to-AWS representing an 8.8x increase), duplicate tooling licenses, increased staffing requirements, and management overhead. For a representative application replicating 10 terabytes monthly, multi-cloud costs approximately $1,770 per month for data transfer versus $200 for multi-region within AWS.</w:t>
      </w:r>
    </w:p>
    <w:p w:rsidR="00000000" w:rsidDel="00000000" w:rsidP="00000000" w:rsidRDefault="00000000" w:rsidRPr="00000000" w14:paraId="00000018">
      <w:pPr>
        <w:spacing w:after="200" w:lineRule="auto"/>
        <w:rPr>
          <w:rFonts w:ascii="Arial" w:cs="Arial" w:eastAsia="Arial" w:hAnsi="Arial"/>
        </w:rPr>
      </w:pPr>
      <w:r w:rsidDel="00000000" w:rsidR="00000000" w:rsidRPr="00000000">
        <w:rPr>
          <w:rFonts w:ascii="Arial" w:cs="Arial" w:eastAsia="Arial" w:hAnsi="Arial"/>
          <w:rtl w:val="0"/>
        </w:rPr>
        <w:t xml:space="preserve">Industry evidence demonstrates both necessity and effectiveness. Major cloud provider regional failures including AWS US-East-1 (December 2021), Azure Active Directory (March 2024), and Google Cloud (2019) resulted in extended multi-hour outages for single-region customers while properly architected multi-region systems maintained service continuity with minimal user impact. Historical data indicates regional infrastructure failures occur with approximately 0.01-0.05% annual probability per region.</w:t>
      </w:r>
    </w:p>
    <w:p w:rsidR="00000000" w:rsidDel="00000000" w:rsidP="00000000" w:rsidRDefault="00000000" w:rsidRPr="00000000" w14:paraId="0000001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rFonts w:ascii="Arial" w:cs="Arial" w:eastAsia="Arial" w:hAnsi="Arial"/>
        </w:rPr>
      </w:pPr>
      <w:r w:rsidDel="00000000" w:rsidR="00000000" w:rsidRPr="00000000">
        <w:rPr>
          <w:rFonts w:ascii="Arial" w:cs="Arial" w:eastAsia="Arial" w:hAnsi="Arial"/>
          <w:rtl w:val="0"/>
        </w:rPr>
        <w:t xml:space="preserve">1. Business Context and Regulatory Drivers</w:t>
      </w:r>
    </w:p>
    <w:p w:rsidR="00000000" w:rsidDel="00000000" w:rsidP="00000000" w:rsidRDefault="00000000" w:rsidRPr="00000000" w14:paraId="0000001B">
      <w:pPr>
        <w:pStyle w:val="Heading2"/>
        <w:rPr>
          <w:rFonts w:ascii="Arial" w:cs="Arial" w:eastAsia="Arial" w:hAnsi="Arial"/>
        </w:rPr>
      </w:pPr>
      <w:r w:rsidDel="00000000" w:rsidR="00000000" w:rsidRPr="00000000">
        <w:rPr>
          <w:rFonts w:ascii="Arial" w:cs="Arial" w:eastAsia="Arial" w:hAnsi="Arial"/>
          <w:rtl w:val="0"/>
        </w:rPr>
        <w:t xml:space="preserve">1.1 The Business Imperative for Operational Resilience</w:t>
      </w:r>
    </w:p>
    <w:p w:rsidR="00000000" w:rsidDel="00000000" w:rsidP="00000000" w:rsidRDefault="00000000" w:rsidRPr="00000000" w14:paraId="0000001C">
      <w:pPr>
        <w:spacing w:after="200" w:lineRule="auto"/>
        <w:rPr>
          <w:rFonts w:ascii="Arial" w:cs="Arial" w:eastAsia="Arial" w:hAnsi="Arial"/>
        </w:rPr>
      </w:pPr>
      <w:r w:rsidDel="00000000" w:rsidR="00000000" w:rsidRPr="00000000">
        <w:rPr>
          <w:rFonts w:ascii="Arial" w:cs="Arial" w:eastAsia="Arial" w:hAnsi="Arial"/>
          <w:rtl w:val="0"/>
        </w:rPr>
        <w:t xml:space="preserve">Financial services institutions face uniquely stringent operational resilience requirements driven by systemic importance, regulatory obligations, and competitive pressures. Service interruptions in critical banking systems directly impact customer trust, regulatory standing, and financial performance. A single hour of downtime for core banking services can result in direct revenue loss, regulatory penalties, reputational damage quantified in customer attrition, and potential systemic risk if the institution provides critical financial infrastructure.</w:t>
      </w:r>
    </w:p>
    <w:p w:rsidR="00000000" w:rsidDel="00000000" w:rsidP="00000000" w:rsidRDefault="00000000" w:rsidRPr="00000000" w14:paraId="0000001D">
      <w:pPr>
        <w:spacing w:after="200" w:lineRule="auto"/>
        <w:rPr>
          <w:rFonts w:ascii="Arial" w:cs="Arial" w:eastAsia="Arial" w:hAnsi="Arial"/>
        </w:rPr>
      </w:pPr>
      <w:r w:rsidDel="00000000" w:rsidR="00000000" w:rsidRPr="00000000">
        <w:rPr>
          <w:rFonts w:ascii="Arial" w:cs="Arial" w:eastAsia="Arial" w:hAnsi="Arial"/>
          <w:rtl w:val="0"/>
        </w:rPr>
        <w:t xml:space="preserve">Jose, operating across multiple jurisdictions with responsibility for corporate banking, investment banking, and treasury services, operates systems classified internally as business-critical, for which availability targets are typically aligned with industry standards approaching 99.99% (52.6 minutes annual downtime) or higher. Achieving these targets while managing infrastructure across geographically distributed operations requires systematic architectural approaches to high availability and disaster recovery that extend beyond traditional backup and restore capabilities.</w:t>
      </w:r>
    </w:p>
    <w:p w:rsidR="00000000" w:rsidDel="00000000" w:rsidP="00000000" w:rsidRDefault="00000000" w:rsidRPr="00000000" w14:paraId="0000001E">
      <w:pPr>
        <w:pStyle w:val="Heading2"/>
        <w:rPr>
          <w:rFonts w:ascii="Arial" w:cs="Arial" w:eastAsia="Arial" w:hAnsi="Arial"/>
        </w:rPr>
      </w:pPr>
      <w:r w:rsidDel="00000000" w:rsidR="00000000" w:rsidRPr="00000000">
        <w:rPr>
          <w:rFonts w:ascii="Arial" w:cs="Arial" w:eastAsia="Arial" w:hAnsi="Arial"/>
          <w:rtl w:val="0"/>
        </w:rPr>
        <w:t xml:space="preserve">1.2 Digital Operational Resilience Act (DORA) Requirements</w:t>
      </w:r>
    </w:p>
    <w:p w:rsidR="00000000" w:rsidDel="00000000" w:rsidP="00000000" w:rsidRDefault="00000000" w:rsidRPr="00000000" w14:paraId="0000001F">
      <w:pPr>
        <w:spacing w:after="200" w:lineRule="auto"/>
        <w:rPr>
          <w:rFonts w:ascii="Arial" w:cs="Arial" w:eastAsia="Arial" w:hAnsi="Arial"/>
        </w:rPr>
      </w:pPr>
      <w:r w:rsidDel="00000000" w:rsidR="00000000" w:rsidRPr="00000000">
        <w:rPr>
          <w:rFonts w:ascii="Arial" w:cs="Arial" w:eastAsia="Arial" w:hAnsi="Arial"/>
          <w:rtl w:val="0"/>
        </w:rPr>
        <w:t xml:space="preserve">The European Union's Regulation 2022/2554 on Digital Operational Resilience for the Financial Sector (DORA), applicable from January 2025, establishes comprehensive requirements for ICT risk management, incident reporting, operational resilience testing, and third-party risk management. DORA applies directly to Angel and creates explicit obligations relevant to cloud architecture decisions.</w:t>
      </w:r>
    </w:p>
    <w:p w:rsidR="00000000" w:rsidDel="00000000" w:rsidP="00000000" w:rsidRDefault="00000000" w:rsidRPr="00000000" w14:paraId="00000020">
      <w:pPr>
        <w:spacing w:after="200" w:lineRule="auto"/>
        <w:rPr>
          <w:rFonts w:ascii="Arial" w:cs="Arial" w:eastAsia="Arial" w:hAnsi="Arial"/>
        </w:rPr>
      </w:pPr>
      <w:r w:rsidDel="00000000" w:rsidR="00000000" w:rsidRPr="00000000">
        <w:rPr>
          <w:rFonts w:ascii="Arial" w:cs="Arial" w:eastAsia="Arial" w:hAnsi="Arial"/>
          <w:rtl w:val="0"/>
        </w:rPr>
        <w:t xml:space="preserve">Article 28 of DORA specifically addresses ICT concentration risk, requiring financial entities to 'identify sources of concentration risk related to the provision of ICT services by ICT third-party service providers.' The regulation mandates consideration of 'the potentially vast number of ICT third-party service providers in the ICT supply chain, the complexity of technical and contractual relationships, the level of substitutability of any individual ICT third-party service provider, and the risks stemming from contract renewals.'</w:t>
      </w:r>
    </w:p>
    <w:p w:rsidR="00000000" w:rsidDel="00000000" w:rsidP="00000000" w:rsidRDefault="00000000" w:rsidRPr="00000000" w14:paraId="00000021">
      <w:pPr>
        <w:spacing w:after="200" w:lineRule="auto"/>
        <w:rPr>
          <w:rFonts w:ascii="Arial" w:cs="Arial" w:eastAsia="Arial" w:hAnsi="Arial"/>
        </w:rPr>
      </w:pPr>
      <w:r w:rsidDel="00000000" w:rsidR="00000000" w:rsidRPr="00000000">
        <w:rPr>
          <w:rFonts w:ascii="Arial" w:cs="Arial" w:eastAsia="Arial" w:hAnsi="Arial"/>
          <w:rtl w:val="0"/>
        </w:rPr>
        <w:t xml:space="preserve">For cloud infrastructure, this translates to a requirement to assess and, where concentration risk is identified as material, mitigate dependency on any single cloud service provider. While DORA does not mandate multi-cloud architecture for all workloads, it requires organizations to evaluate concentration risk and implement proportionate risk mitigation measures. For Tier 1 applications where provider-level failure would materially impact operational continuity, multi-cloud or robust exit strategies become regulatory requirements rather than optional architectural enhancements.</w:t>
      </w:r>
    </w:p>
    <w:p w:rsidR="00000000" w:rsidDel="00000000" w:rsidP="00000000" w:rsidRDefault="00000000" w:rsidRPr="00000000" w14:paraId="00000022">
      <w:pPr>
        <w:spacing w:after="200" w:lineRule="auto"/>
        <w:rPr>
          <w:rFonts w:ascii="Arial" w:cs="Arial" w:eastAsia="Arial" w:hAnsi="Arial"/>
        </w:rPr>
      </w:pPr>
      <w:r w:rsidDel="00000000" w:rsidR="00000000" w:rsidRPr="00000000">
        <w:rPr>
          <w:rFonts w:ascii="Arial" w:cs="Arial" w:eastAsia="Arial" w:hAnsi="Arial"/>
          <w:rtl w:val="0"/>
        </w:rPr>
        <w:t xml:space="preserve">European Banking Authority guidelines supporting DORA implementation emphasize that concentration risk assessment should consider both the likelihood of provider failure (historically low but non-zero for major cloud providers) and the business impact of such failures. Where impact analysis indicates that single-provider dependency creates unacceptable operational risk, organizations must implement mitigation through multi-cloud deployment, contractual provisions enabling rapid provider migration, or other measures demonstrating capability to maintain operations during provider disruptions.</w:t>
      </w:r>
    </w:p>
    <w:p w:rsidR="00000000" w:rsidDel="00000000" w:rsidP="00000000" w:rsidRDefault="00000000" w:rsidRPr="00000000" w14:paraId="00000023">
      <w:pPr>
        <w:pStyle w:val="Heading2"/>
        <w:rPr>
          <w:rFonts w:ascii="Arial" w:cs="Arial" w:eastAsia="Arial" w:hAnsi="Arial"/>
        </w:rPr>
      </w:pPr>
      <w:r w:rsidDel="00000000" w:rsidR="00000000" w:rsidRPr="00000000">
        <w:rPr>
          <w:rFonts w:ascii="Arial" w:cs="Arial" w:eastAsia="Arial" w:hAnsi="Arial"/>
          <w:rtl w:val="0"/>
        </w:rPr>
        <w:t xml:space="preserve">1.3 Additional Regulatory and Compliance Considerations</w:t>
      </w:r>
    </w:p>
    <w:p w:rsidR="00000000" w:rsidDel="00000000" w:rsidP="00000000" w:rsidRDefault="00000000" w:rsidRPr="00000000" w14:paraId="00000024">
      <w:pPr>
        <w:spacing w:after="200" w:lineRule="auto"/>
        <w:rPr>
          <w:rFonts w:ascii="Arial" w:cs="Arial" w:eastAsia="Arial" w:hAnsi="Arial"/>
        </w:rPr>
      </w:pPr>
      <w:r w:rsidDel="00000000" w:rsidR="00000000" w:rsidRPr="00000000">
        <w:rPr>
          <w:rFonts w:ascii="Arial" w:cs="Arial" w:eastAsia="Arial" w:hAnsi="Arial"/>
          <w:rtl w:val="0"/>
        </w:rPr>
        <w:t xml:space="preserve">Beyond DORA, multiple regulatory frameworks influence cloud architecture decisions for financial institutions. The European Central Bank (ECB) guidelines on outsourcing to cloud service providers establish requirements for risk assessment, contractual terms, and exit planning. The Prudential Regulation Authority (PRA) in the United Kingdom maintains similar supervisory expectations. The Monetary Authority of Singapore (MAS), Banco Central do Brasil, and other regulators in markets where Angel operates have issued comparable guidance.</w:t>
      </w:r>
    </w:p>
    <w:p w:rsidR="00000000" w:rsidDel="00000000" w:rsidP="00000000" w:rsidRDefault="00000000" w:rsidRPr="00000000" w14:paraId="00000025">
      <w:pPr>
        <w:spacing w:after="200" w:lineRule="auto"/>
        <w:rPr>
          <w:rFonts w:ascii="Arial" w:cs="Arial" w:eastAsia="Arial" w:hAnsi="Arial"/>
        </w:rPr>
      </w:pPr>
      <w:r w:rsidDel="00000000" w:rsidR="00000000" w:rsidRPr="00000000">
        <w:rPr>
          <w:rFonts w:ascii="Arial" w:cs="Arial" w:eastAsia="Arial" w:hAnsi="Arial"/>
          <w:rtl w:val="0"/>
        </w:rPr>
        <w:t xml:space="preserve">Data residency requirements under the General Data Protection Regulation (GDPR) and equivalent data protection frameworks create geographic constraints on where personal data may be processed and stored, influencing region selection for multi-region deployments. Payment Card Industry Data Security Standard (PCI-DSS) requirements for cardholder data availability and integrity create specific technical obligations for payment processing systems. Collectively, these regulatory requirements establish a complex compliance landscape that cloud architecture decisions must navigate.</w:t>
      </w:r>
    </w:p>
    <w:p w:rsidR="00000000" w:rsidDel="00000000" w:rsidP="00000000" w:rsidRDefault="00000000" w:rsidRPr="00000000" w14:paraId="0000002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Arial" w:cs="Arial" w:eastAsia="Arial" w:hAnsi="Arial"/>
        </w:rPr>
      </w:pPr>
      <w:r w:rsidDel="00000000" w:rsidR="00000000" w:rsidRPr="00000000">
        <w:rPr>
          <w:rFonts w:ascii="Arial" w:cs="Arial" w:eastAsia="Arial" w:hAnsi="Arial"/>
          <w:rtl w:val="0"/>
        </w:rPr>
        <w:t xml:space="preserve">2. Terminology and Foundational Concepts</w:t>
      </w:r>
    </w:p>
    <w:p w:rsidR="00000000" w:rsidDel="00000000" w:rsidP="00000000" w:rsidRDefault="00000000" w:rsidRPr="00000000" w14:paraId="00000028">
      <w:pPr>
        <w:pStyle w:val="Heading2"/>
        <w:rPr>
          <w:rFonts w:ascii="Arial" w:cs="Arial" w:eastAsia="Arial" w:hAnsi="Arial"/>
        </w:rPr>
      </w:pPr>
      <w:r w:rsidDel="00000000" w:rsidR="00000000" w:rsidRPr="00000000">
        <w:rPr>
          <w:rFonts w:ascii="Arial" w:cs="Arial" w:eastAsia="Arial" w:hAnsi="Arial"/>
          <w:rtl w:val="0"/>
        </w:rPr>
        <w:t xml:space="preserve">2.1 Core Definitions</w:t>
      </w:r>
    </w:p>
    <w:p w:rsidR="00000000" w:rsidDel="00000000" w:rsidP="00000000" w:rsidRDefault="00000000" w:rsidRPr="00000000" w14:paraId="00000029">
      <w:pPr>
        <w:spacing w:after="200" w:lineRule="auto"/>
        <w:rPr>
          <w:rFonts w:ascii="Arial" w:cs="Arial" w:eastAsia="Arial" w:hAnsi="Arial"/>
        </w:rPr>
      </w:pPr>
      <w:r w:rsidDel="00000000" w:rsidR="00000000" w:rsidRPr="00000000">
        <w:rPr>
          <w:rFonts w:ascii="Arial" w:cs="Arial" w:eastAsia="Arial" w:hAnsi="Arial"/>
          <w:rtl w:val="0"/>
        </w:rPr>
        <w:t xml:space="preserve">Precise terminology is essential for evaluating architectural alternatives. The following definitions establish a common vocabulary for subsequent analysis.</w:t>
      </w:r>
    </w:p>
    <w:p w:rsidR="00000000" w:rsidDel="00000000" w:rsidP="00000000" w:rsidRDefault="00000000" w:rsidRPr="00000000" w14:paraId="0000002A">
      <w:pPr>
        <w:spacing w:after="200" w:lineRule="auto"/>
        <w:rPr>
          <w:rFonts w:ascii="Arial" w:cs="Arial" w:eastAsia="Arial" w:hAnsi="Arial"/>
        </w:rPr>
      </w:pPr>
      <w:r w:rsidDel="00000000" w:rsidR="00000000" w:rsidRPr="00000000">
        <w:rPr>
          <w:rFonts w:ascii="Arial" w:cs="Arial" w:eastAsia="Arial" w:hAnsi="Arial"/>
          <w:rtl w:val="0"/>
        </w:rPr>
        <w:t xml:space="preserve">Distributed Deployment: Applications deployed in multiple geographic locations or infrastructure environments without automated coordination, shared operational control mechanisms, or guaranteed consistency. Distributed deployments may improve fault isolation and geographic proximity but do not inherently provide high availability or disaster recovery capabilities without additional coordination infrastructure.</w:t>
      </w:r>
    </w:p>
    <w:p w:rsidR="00000000" w:rsidDel="00000000" w:rsidP="00000000" w:rsidRDefault="00000000" w:rsidRPr="00000000" w14:paraId="0000002B">
      <w:pPr>
        <w:spacing w:after="200" w:lineRule="auto"/>
        <w:rPr>
          <w:rFonts w:ascii="Arial" w:cs="Arial" w:eastAsia="Arial" w:hAnsi="Arial"/>
        </w:rPr>
      </w:pPr>
      <w:r w:rsidDel="00000000" w:rsidR="00000000" w:rsidRPr="00000000">
        <w:rPr>
          <w:rFonts w:ascii="Arial" w:cs="Arial" w:eastAsia="Arial" w:hAnsi="Arial"/>
          <w:rtl w:val="0"/>
        </w:rPr>
        <w:t xml:space="preserve">Multi-Region Architecture: A coordinated deployment spanning multiple geographic regions within a single cloud provider's infrastructure, designed to maintain service continuity through automated failover mechanisms, intelligent traffic routing, and real-time state synchronization. Multi-region architecture implements external observation, traffic coordination, and state replication to enable automatic or semi-automatic recovery from regional failures with defined Recovery Time Objectives and Recovery Point Objectives.</w:t>
      </w:r>
    </w:p>
    <w:p w:rsidR="00000000" w:rsidDel="00000000" w:rsidP="00000000" w:rsidRDefault="00000000" w:rsidRPr="00000000" w14:paraId="0000002C">
      <w:pPr>
        <w:spacing w:after="200" w:lineRule="auto"/>
        <w:rPr>
          <w:rFonts w:ascii="Arial" w:cs="Arial" w:eastAsia="Arial" w:hAnsi="Arial"/>
        </w:rPr>
      </w:pPr>
      <w:r w:rsidDel="00000000" w:rsidR="00000000" w:rsidRPr="00000000">
        <w:rPr>
          <w:rFonts w:ascii="Arial" w:cs="Arial" w:eastAsia="Arial" w:hAnsi="Arial"/>
          <w:rtl w:val="0"/>
        </w:rPr>
        <w:t xml:space="preserve">Multi-Cloud Architecture: Deployment of application components across multiple cloud infrastructure providers (such as AWS, Microsoft Azure, Google Cloud Platform) to reduce provider-level dependency risk and enable strategic service diversification. Multi-cloud architecture requires provider-agnostic coordination mechanisms, cross-provider data replication, and unified operational tooling to manage heterogeneous infrastructure.</w:t>
      </w:r>
    </w:p>
    <w:p w:rsidR="00000000" w:rsidDel="00000000" w:rsidP="00000000" w:rsidRDefault="00000000" w:rsidRPr="00000000" w14:paraId="0000002D">
      <w:pPr>
        <w:spacing w:after="200" w:lineRule="auto"/>
        <w:rPr>
          <w:rFonts w:ascii="Arial" w:cs="Arial" w:eastAsia="Arial" w:hAnsi="Arial"/>
        </w:rPr>
      </w:pPr>
      <w:r w:rsidDel="00000000" w:rsidR="00000000" w:rsidRPr="00000000">
        <w:rPr>
          <w:rFonts w:ascii="Arial" w:cs="Arial" w:eastAsia="Arial" w:hAnsi="Arial"/>
          <w:rtl w:val="0"/>
        </w:rPr>
        <w:t xml:space="preserve">High Availability (HA): System design principles and implementation practices focused on minimizing service interruption through redundancy, fault tolerance, and rapid failure recovery. High availability targets are typically expressed as percentages representing the proportion of time services remain available to users. Each additional 'nine' of availability represents a 10x reduction in acceptable downtime and typically requires exponentially increasing investment.</w:t>
      </w:r>
    </w:p>
    <w:p w:rsidR="00000000" w:rsidDel="00000000" w:rsidP="00000000" w:rsidRDefault="00000000" w:rsidRPr="00000000" w14:paraId="0000002E">
      <w:pPr>
        <w:spacing w:after="200" w:lineRule="auto"/>
        <w:rPr>
          <w:rFonts w:ascii="Arial" w:cs="Arial" w:eastAsia="Arial" w:hAnsi="Arial"/>
        </w:rPr>
      </w:pPr>
      <w:r w:rsidDel="00000000" w:rsidR="00000000" w:rsidRPr="00000000">
        <w:rPr>
          <w:rFonts w:ascii="Arial" w:cs="Arial" w:eastAsia="Arial" w:hAnsi="Arial"/>
          <w:rtl w:val="0"/>
        </w:rPr>
        <w:t xml:space="preserve">Disaster Recovery (DR): Strategies, processes, and technical capabilities designed to restore critical business services following catastrophic failures, major incidents, or disasters affecting primary infrastructure. Disaster recovery focuses on business continuity rather than continuous availability, typically accepting longer recovery times than high availability architectures while ensuring data preservation and eventual service restoration.</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2.2 Recovery Metrics and Service Level Objectives</w:t>
      </w:r>
    </w:p>
    <w:p w:rsidR="00000000" w:rsidDel="00000000" w:rsidP="00000000" w:rsidRDefault="00000000" w:rsidRPr="00000000" w14:paraId="00000030">
      <w:pPr>
        <w:spacing w:after="200" w:lineRule="auto"/>
        <w:rPr>
          <w:rFonts w:ascii="Arial" w:cs="Arial" w:eastAsia="Arial" w:hAnsi="Arial"/>
        </w:rPr>
      </w:pPr>
      <w:r w:rsidDel="00000000" w:rsidR="00000000" w:rsidRPr="00000000">
        <w:rPr>
          <w:rFonts w:ascii="Arial" w:cs="Arial" w:eastAsia="Arial" w:hAnsi="Arial"/>
          <w:rtl w:val="0"/>
        </w:rPr>
        <w:t xml:space="preserve">Understanding resilience architecture requires clarity on key recovery metrics that quantify system objectives and measure outcomes.</w:t>
      </w:r>
    </w:p>
    <w:p w:rsidR="00000000" w:rsidDel="00000000" w:rsidP="00000000" w:rsidRDefault="00000000" w:rsidRPr="00000000" w14:paraId="00000031">
      <w:pPr>
        <w:spacing w:after="200" w:lineRule="auto"/>
        <w:rPr>
          <w:rFonts w:ascii="Arial" w:cs="Arial" w:eastAsia="Arial" w:hAnsi="Arial"/>
        </w:rPr>
      </w:pPr>
      <w:r w:rsidDel="00000000" w:rsidR="00000000" w:rsidRPr="00000000">
        <w:rPr>
          <w:rFonts w:ascii="Arial" w:cs="Arial" w:eastAsia="Arial" w:hAnsi="Arial"/>
          <w:rtl w:val="0"/>
        </w:rPr>
        <w:t xml:space="preserve">Recovery Time Objective (RTO): The maximum acceptable duration of service interruption before business impact becomes unacceptable. RTO drives architectural decisions about automation, redundancy, and failover mechanisms. Applications with RTO measured in minutes require active-active multi-region deployments with automated health monitoring and traffic routing. Applications tolerating RTO measured in hours may utilize active-passive configurations with manual or semi-automated failover procedures.</w:t>
      </w:r>
    </w:p>
    <w:p w:rsidR="00000000" w:rsidDel="00000000" w:rsidP="00000000" w:rsidRDefault="00000000" w:rsidRPr="00000000" w14:paraId="00000032">
      <w:pPr>
        <w:spacing w:after="200" w:lineRule="auto"/>
        <w:rPr>
          <w:rFonts w:ascii="Arial" w:cs="Arial" w:eastAsia="Arial" w:hAnsi="Arial"/>
        </w:rPr>
      </w:pPr>
      <w:r w:rsidDel="00000000" w:rsidR="00000000" w:rsidRPr="00000000">
        <w:rPr>
          <w:rFonts w:ascii="Arial" w:cs="Arial" w:eastAsia="Arial" w:hAnsi="Arial"/>
          <w:rtl w:val="0"/>
        </w:rPr>
        <w:t xml:space="preserve">Recovery Point Objective (RPO): The maximum acceptable age of data at recovery point, representing potential data loss during failures. RPO influences replication frequency, consistency requirements, and backup strategies. Applications requiring RPO near zero mandate synchronous or near-synchronous data replication across regions. Applications accepting RPO measured in hours can utilize asynchronous replication or periodic backup strategies with lower operational cost.</w:t>
      </w:r>
    </w:p>
    <w:p w:rsidR="00000000" w:rsidDel="00000000" w:rsidP="00000000" w:rsidRDefault="00000000" w:rsidRPr="00000000" w14:paraId="00000033">
      <w:pPr>
        <w:spacing w:after="200" w:lineRule="auto"/>
        <w:rPr>
          <w:rFonts w:ascii="Arial" w:cs="Arial" w:eastAsia="Arial" w:hAnsi="Arial"/>
        </w:rPr>
      </w:pPr>
      <w:r w:rsidDel="00000000" w:rsidR="00000000" w:rsidRPr="00000000">
        <w:rPr>
          <w:rFonts w:ascii="Arial" w:cs="Arial" w:eastAsia="Arial" w:hAnsi="Arial"/>
          <w:rtl w:val="0"/>
        </w:rPr>
        <w:t xml:space="preserve">Mean Time To Detect (MTTD): The average duration between failure occurrence and detection by monitoring systems or operational personnel. Reducing MTTD requires comprehensive external monitoring with appropriate alerting thresholds and validation procedures. Automated detection typically achieves MTTD measured in seconds or minutes, while manual detection may require hours.</w:t>
      </w:r>
    </w:p>
    <w:p w:rsidR="00000000" w:rsidDel="00000000" w:rsidP="00000000" w:rsidRDefault="00000000" w:rsidRPr="00000000" w14:paraId="00000034">
      <w:pPr>
        <w:spacing w:after="200" w:lineRule="auto"/>
        <w:rPr>
          <w:rFonts w:ascii="Arial" w:cs="Arial" w:eastAsia="Arial" w:hAnsi="Arial"/>
        </w:rPr>
      </w:pPr>
      <w:r w:rsidDel="00000000" w:rsidR="00000000" w:rsidRPr="00000000">
        <w:rPr>
          <w:rFonts w:ascii="Arial" w:cs="Arial" w:eastAsia="Arial" w:hAnsi="Arial"/>
          <w:rtl w:val="0"/>
        </w:rPr>
        <w:t xml:space="preserve">Mean Time To Recover (MTTR): The average duration from failure detection to full service restoration. MTTR depends on failure diagnosis speed, remediation procedure complexity, and automation level. Automated failover procedures can achieve MTTR of minutes, while manual procedures typically require 30 minutes to several hours depending on personnel availability and procedural complexity.</w:t>
      </w:r>
    </w:p>
    <w:p w:rsidR="00000000" w:rsidDel="00000000" w:rsidP="00000000" w:rsidRDefault="00000000" w:rsidRPr="00000000" w14:paraId="00000035">
      <w:pPr>
        <w:pStyle w:val="Heading2"/>
        <w:rPr>
          <w:rFonts w:ascii="Arial" w:cs="Arial" w:eastAsia="Arial" w:hAnsi="Arial"/>
        </w:rPr>
      </w:pPr>
      <w:r w:rsidDel="00000000" w:rsidR="00000000" w:rsidRPr="00000000">
        <w:rPr>
          <w:rFonts w:ascii="Arial" w:cs="Arial" w:eastAsia="Arial" w:hAnsi="Arial"/>
          <w:rtl w:val="0"/>
        </w:rPr>
        <w:t xml:space="preserve">2.3 Active-Active versus Active-Passive Deployment Models</w:t>
      </w:r>
    </w:p>
    <w:p w:rsidR="00000000" w:rsidDel="00000000" w:rsidP="00000000" w:rsidRDefault="00000000" w:rsidRPr="00000000" w14:paraId="00000036">
      <w:pPr>
        <w:spacing w:after="200" w:lineRule="auto"/>
        <w:rPr>
          <w:rFonts w:ascii="Arial" w:cs="Arial" w:eastAsia="Arial" w:hAnsi="Arial"/>
        </w:rPr>
      </w:pPr>
      <w:r w:rsidDel="00000000" w:rsidR="00000000" w:rsidRPr="00000000">
        <w:rPr>
          <w:rFonts w:ascii="Arial" w:cs="Arial" w:eastAsia="Arial" w:hAnsi="Arial"/>
          <w:rtl w:val="0"/>
        </w:rPr>
        <w:t xml:space="preserve">Multi-region architectures implement either active-active or active-passive models, each with distinct operational characteristics and trade-offs.</w:t>
      </w:r>
    </w:p>
    <w:p w:rsidR="00000000" w:rsidDel="00000000" w:rsidP="00000000" w:rsidRDefault="00000000" w:rsidRPr="00000000" w14:paraId="00000037">
      <w:pPr>
        <w:spacing w:after="200" w:lineRule="auto"/>
        <w:rPr>
          <w:rFonts w:ascii="Arial" w:cs="Arial" w:eastAsia="Arial" w:hAnsi="Arial"/>
        </w:rPr>
      </w:pPr>
      <w:r w:rsidDel="00000000" w:rsidR="00000000" w:rsidRPr="00000000">
        <w:rPr>
          <w:rFonts w:ascii="Arial" w:cs="Arial" w:eastAsia="Arial" w:hAnsi="Arial"/>
          <w:rtl w:val="0"/>
        </w:rPr>
        <w:t xml:space="preserve">Active-Active Configuration: Multiple regions simultaneously serve production traffic, distributing load across geographic locations and providing immediate failover capability when any region experiences degradation or failure. Active-active deployments optimize for minimum RTO (typically under 5 minutes with proper automation) and enable geographic load distribution for latency optimization. However, active-active requires bidirectional data replication, conflict resolution mechanisms for concurrent updates, more complex operational procedures, and higher infrastructure costs from maintaining full capacity in multiple regions.</w:t>
      </w:r>
    </w:p>
    <w:p w:rsidR="00000000" w:rsidDel="00000000" w:rsidP="00000000" w:rsidRDefault="00000000" w:rsidRPr="00000000" w14:paraId="00000038">
      <w:pPr>
        <w:spacing w:after="200" w:lineRule="auto"/>
        <w:rPr>
          <w:rFonts w:ascii="Arial" w:cs="Arial" w:eastAsia="Arial" w:hAnsi="Arial"/>
        </w:rPr>
      </w:pPr>
      <w:r w:rsidDel="00000000" w:rsidR="00000000" w:rsidRPr="00000000">
        <w:rPr>
          <w:rFonts w:ascii="Arial" w:cs="Arial" w:eastAsia="Arial" w:hAnsi="Arial"/>
          <w:rtl w:val="0"/>
        </w:rPr>
        <w:t xml:space="preserve">Active-Passive Configuration: One region serves as the primary production environment while secondary regions maintain infrastructure in a standby state, ready to assume production load when primary region failure is detected. Active-passive deployments reduce infrastructure cost by maintaining reduced capacity in standby regions and simplify operational procedures by concentrating production traffic in a single region. However, failover procedures typically require 2-15 minutes to promote standby resources to active status, test capability before traffic routing, and validate full operational readiness.</w:t>
      </w:r>
    </w:p>
    <w:p w:rsidR="00000000" w:rsidDel="00000000" w:rsidP="00000000" w:rsidRDefault="00000000" w:rsidRPr="00000000" w14:paraId="00000039">
      <w:pPr>
        <w:spacing w:after="200" w:lineRule="auto"/>
        <w:rPr>
          <w:rFonts w:ascii="Arial" w:cs="Arial" w:eastAsia="Arial" w:hAnsi="Arial"/>
        </w:rPr>
      </w:pPr>
      <w:r w:rsidDel="00000000" w:rsidR="00000000" w:rsidRPr="00000000">
        <w:rPr>
          <w:rFonts w:ascii="Arial" w:cs="Arial" w:eastAsia="Arial" w:hAnsi="Arial"/>
          <w:rtl w:val="0"/>
        </w:rPr>
        <w:t xml:space="preserve">Hybrid configurations combining aspects of both models are possible—for example, primary and secondary regions both serving read traffic (active-active for reads) while only the primary accepts write operations (active-passive for writes). Such hybrid approaches optimize cost and complexity while providing read availability benefits.</w:t>
      </w:r>
    </w:p>
    <w:p w:rsidR="00000000" w:rsidDel="00000000" w:rsidP="00000000" w:rsidRDefault="00000000" w:rsidRPr="00000000" w14:paraId="0000003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Arial" w:cs="Arial" w:eastAsia="Arial" w:hAnsi="Arial"/>
        </w:rPr>
      </w:pPr>
      <w:r w:rsidDel="00000000" w:rsidR="00000000" w:rsidRPr="00000000">
        <w:rPr>
          <w:rFonts w:ascii="Arial" w:cs="Arial" w:eastAsia="Arial" w:hAnsi="Arial"/>
          <w:rtl w:val="0"/>
        </w:rPr>
        <w:t xml:space="preserve">3. The Distributed Deployment Fallacy</w:t>
      </w:r>
    </w:p>
    <w:p w:rsidR="00000000" w:rsidDel="00000000" w:rsidP="00000000" w:rsidRDefault="00000000" w:rsidRPr="00000000" w14:paraId="0000003C">
      <w:pPr>
        <w:pStyle w:val="Heading2"/>
        <w:rPr>
          <w:rFonts w:ascii="Arial" w:cs="Arial" w:eastAsia="Arial" w:hAnsi="Arial"/>
        </w:rPr>
      </w:pPr>
      <w:r w:rsidDel="00000000" w:rsidR="00000000" w:rsidRPr="00000000">
        <w:rPr>
          <w:rFonts w:ascii="Arial" w:cs="Arial" w:eastAsia="Arial" w:hAnsi="Arial"/>
          <w:rtl w:val="0"/>
        </w:rPr>
        <w:t xml:space="preserve">3.1 Current State Assessment for Jose</w:t>
      </w:r>
    </w:p>
    <w:p w:rsidR="00000000" w:rsidDel="00000000" w:rsidP="00000000" w:rsidRDefault="00000000" w:rsidRPr="00000000" w14:paraId="0000003D">
      <w:pPr>
        <w:spacing w:after="200" w:lineRule="auto"/>
        <w:rPr>
          <w:rFonts w:ascii="Arial" w:cs="Arial" w:eastAsia="Arial" w:hAnsi="Arial"/>
        </w:rPr>
      </w:pPr>
      <w:r w:rsidDel="00000000" w:rsidR="00000000" w:rsidRPr="00000000">
        <w:rPr>
          <w:rFonts w:ascii="Arial" w:cs="Arial" w:eastAsia="Arial" w:hAnsi="Arial"/>
          <w:rtl w:val="0"/>
        </w:rPr>
        <w:t xml:space="preserve">Jose maintains deployment capabilities spanning multiple geographic regions including AWS regions (Frankfurt eu-central-1, Ireland eu-west-1, London eu-west-2, Virginia us-east-1, Hong Kong ap-east-1) and Azure regions (Amsterdam West Europe, Spain South Europe). This geographic distribution provides foundational infrastructure for multi-region architecture but does not itself constitute resilient multi-region capability.</w:t>
      </w:r>
    </w:p>
    <w:p w:rsidR="00000000" w:rsidDel="00000000" w:rsidP="00000000" w:rsidRDefault="00000000" w:rsidRPr="00000000" w14:paraId="0000003E">
      <w:pPr>
        <w:spacing w:after="200" w:lineRule="auto"/>
        <w:rPr>
          <w:rFonts w:ascii="Arial" w:cs="Arial" w:eastAsia="Arial" w:hAnsi="Arial"/>
        </w:rPr>
      </w:pPr>
      <w:r w:rsidDel="00000000" w:rsidR="00000000" w:rsidRPr="00000000">
        <w:rPr>
          <w:rFonts w:ascii="Arial" w:cs="Arial" w:eastAsia="Arial" w:hAnsi="Arial"/>
          <w:rtl w:val="0"/>
        </w:rPr>
        <w:t xml:space="preserve">Applications currently deployed across multiple regions without external coordination mechanisms function as independent systems. Each regional deployment maintains separate runtime environments, isolated data stores, independent configuration, and no automated failover capability. This configuration provides fault isolation—preventing failures in one region from directly cascading to others—but does not enable service continuity during regional outages.</w:t>
      </w:r>
    </w:p>
    <w:p w:rsidR="00000000" w:rsidDel="00000000" w:rsidP="00000000" w:rsidRDefault="00000000" w:rsidRPr="00000000" w14:paraId="0000003F">
      <w:pPr>
        <w:pStyle w:val="Heading2"/>
        <w:rPr>
          <w:rFonts w:ascii="Arial" w:cs="Arial" w:eastAsia="Arial" w:hAnsi="Arial"/>
        </w:rPr>
      </w:pPr>
      <w:r w:rsidDel="00000000" w:rsidR="00000000" w:rsidRPr="00000000">
        <w:rPr>
          <w:rFonts w:ascii="Arial" w:cs="Arial" w:eastAsia="Arial" w:hAnsi="Arial"/>
          <w:rtl w:val="0"/>
        </w:rPr>
        <w:t xml:space="preserve">3.2 Operational Consequences of Uncoordinated Distribution</w:t>
      </w:r>
    </w:p>
    <w:p w:rsidR="00000000" w:rsidDel="00000000" w:rsidP="00000000" w:rsidRDefault="00000000" w:rsidRPr="00000000" w14:paraId="00000040">
      <w:pPr>
        <w:spacing w:after="200" w:lineRule="auto"/>
        <w:rPr>
          <w:rFonts w:ascii="Arial" w:cs="Arial" w:eastAsia="Arial" w:hAnsi="Arial"/>
        </w:rPr>
      </w:pPr>
      <w:r w:rsidDel="00000000" w:rsidR="00000000" w:rsidRPr="00000000">
        <w:rPr>
          <w:rFonts w:ascii="Arial" w:cs="Arial" w:eastAsia="Arial" w:hAnsi="Arial"/>
          <w:rtl w:val="0"/>
        </w:rPr>
        <w:t xml:space="preserve">Organizations maintaining distributed deployments without coordination infrastructure encounter systematic operational challenges during regional failures, capacity events, or planned maintenance activities.</w:t>
      </w:r>
    </w:p>
    <w:p w:rsidR="00000000" w:rsidDel="00000000" w:rsidP="00000000" w:rsidRDefault="00000000" w:rsidRPr="00000000" w14:paraId="00000041">
      <w:pPr>
        <w:spacing w:after="200" w:lineRule="auto"/>
        <w:rPr>
          <w:rFonts w:ascii="Arial" w:cs="Arial" w:eastAsia="Arial" w:hAnsi="Arial"/>
        </w:rPr>
      </w:pPr>
      <w:r w:rsidDel="00000000" w:rsidR="00000000" w:rsidRPr="00000000">
        <w:rPr>
          <w:rFonts w:ascii="Arial" w:cs="Arial" w:eastAsia="Arial" w:hAnsi="Arial"/>
          <w:rtl w:val="0"/>
        </w:rPr>
        <w:t xml:space="preserve">Manual Failover Procedures and Extended RTO: Without automated health detection and traffic routing, regional failures require manual intervention to redirect traffic. Operations personnel must detect the failure through user reports or periodic monitoring, diagnose the failure scope and root cause, determine whether secondary region can accept traffic, execute procedure to update DNS records or load balancer configuration, and validate successful traffic redirection. This procedure typically requires 30 minutes to 2 hours depending on personnel availability, diagnosis complexity, and procedural maturity. For applications with SLA requirements below one hour of downtime, manual failover procedures fundamentally cannot meet availability commitments.</w:t>
      </w:r>
    </w:p>
    <w:p w:rsidR="00000000" w:rsidDel="00000000" w:rsidP="00000000" w:rsidRDefault="00000000" w:rsidRPr="00000000" w14:paraId="00000042">
      <w:pPr>
        <w:spacing w:after="200" w:lineRule="auto"/>
        <w:rPr>
          <w:rFonts w:ascii="Arial" w:cs="Arial" w:eastAsia="Arial" w:hAnsi="Arial"/>
        </w:rPr>
      </w:pPr>
      <w:r w:rsidDel="00000000" w:rsidR="00000000" w:rsidRPr="00000000">
        <w:rPr>
          <w:rFonts w:ascii="Arial" w:cs="Arial" w:eastAsia="Arial" w:hAnsi="Arial"/>
          <w:rtl w:val="0"/>
        </w:rPr>
        <w:t xml:space="preserve">Data Inconsistency and Loss: Independent regional deployments without continuous data replication create data consistency challenges during failover. When primary region fails, secondary region database contains stale data reflecting state as of the last periodic backup or replication cycle. Transactions committed to primary region database after the last replication point are lost. Users who were mid-session in the primary region lose session state and in-progress work. Applications with RPO requirements below one hour cannot rely on periodic replication or backup strategies—continuous replication becomes mandatory.</w:t>
      </w:r>
    </w:p>
    <w:p w:rsidR="00000000" w:rsidDel="00000000" w:rsidP="00000000" w:rsidRDefault="00000000" w:rsidRPr="00000000" w14:paraId="00000043">
      <w:pPr>
        <w:spacing w:after="200" w:lineRule="auto"/>
        <w:rPr>
          <w:rFonts w:ascii="Arial" w:cs="Arial" w:eastAsia="Arial" w:hAnsi="Arial"/>
        </w:rPr>
      </w:pPr>
      <w:r w:rsidDel="00000000" w:rsidR="00000000" w:rsidRPr="00000000">
        <w:rPr>
          <w:rFonts w:ascii="Arial" w:cs="Arial" w:eastAsia="Arial" w:hAnsi="Arial"/>
          <w:rtl w:val="0"/>
        </w:rPr>
        <w:t xml:space="preserve">Session Interruption and User Experience Impact: Stateful applications maintaining user sessions, shopping carts, in-progress forms, or authenticated state experience complete session loss during manual failover to independent regional deployments. Users must re-authenticate, lose unsaved work, and restart business processes from the beginning. For customer-facing applications, this creates significant user experience degradation and potential transaction abandonment.</w:t>
      </w:r>
    </w:p>
    <w:p w:rsidR="00000000" w:rsidDel="00000000" w:rsidP="00000000" w:rsidRDefault="00000000" w:rsidRPr="00000000" w14:paraId="00000044">
      <w:pPr>
        <w:spacing w:after="200" w:lineRule="auto"/>
        <w:rPr>
          <w:rFonts w:ascii="Arial" w:cs="Arial" w:eastAsia="Arial" w:hAnsi="Arial"/>
        </w:rPr>
      </w:pPr>
      <w:r w:rsidDel="00000000" w:rsidR="00000000" w:rsidRPr="00000000">
        <w:rPr>
          <w:rFonts w:ascii="Arial" w:cs="Arial" w:eastAsia="Arial" w:hAnsi="Arial"/>
          <w:rtl w:val="0"/>
        </w:rPr>
        <w:t xml:space="preserve">Configuration and Deployment Drift: Maintaining identical configuration, application versions, and operational state across independent regional deployments requires disciplined change management. In practice, configuration drift emerges over time—primary region receives emergency patches or configuration changes that are not synchronized to secondary regions, testing in primary region may not be replicated in secondary, and infrastructure-as-code templates may diverge between regions. When failover occurs, applications in secondary region may exhibit different behavior, expose different bugs, or lack critical security patches.</w:t>
      </w:r>
    </w:p>
    <w:p w:rsidR="00000000" w:rsidDel="00000000" w:rsidP="00000000" w:rsidRDefault="00000000" w:rsidRPr="00000000" w14:paraId="0000004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Arial" w:cs="Arial" w:eastAsia="Arial" w:hAnsi="Arial"/>
        </w:rPr>
      </w:pPr>
      <w:r w:rsidDel="00000000" w:rsidR="00000000" w:rsidRPr="00000000">
        <w:rPr>
          <w:rFonts w:ascii="Arial" w:cs="Arial" w:eastAsia="Arial" w:hAnsi="Arial"/>
          <w:rtl w:val="0"/>
        </w:rPr>
        <w:t xml:space="preserve">4. Essential External Coordination Components</w:t>
      </w:r>
    </w:p>
    <w:p w:rsidR="00000000" w:rsidDel="00000000" w:rsidP="00000000" w:rsidRDefault="00000000" w:rsidRPr="00000000" w14:paraId="00000047">
      <w:pPr>
        <w:pStyle w:val="Heading2"/>
        <w:rPr>
          <w:rFonts w:ascii="Arial" w:cs="Arial" w:eastAsia="Arial" w:hAnsi="Arial"/>
        </w:rPr>
      </w:pPr>
      <w:r w:rsidDel="00000000" w:rsidR="00000000" w:rsidRPr="00000000">
        <w:rPr>
          <w:rFonts w:ascii="Arial" w:cs="Arial" w:eastAsia="Arial" w:hAnsi="Arial"/>
          <w:rtl w:val="0"/>
        </w:rPr>
        <w:t xml:space="preserve">4.1 External Observation Infrastructure</w:t>
      </w:r>
    </w:p>
    <w:p w:rsidR="00000000" w:rsidDel="00000000" w:rsidP="00000000" w:rsidRDefault="00000000" w:rsidRPr="00000000" w14:paraId="00000048">
      <w:pPr>
        <w:spacing w:after="200" w:lineRule="auto"/>
        <w:rPr>
          <w:rFonts w:ascii="Arial" w:cs="Arial" w:eastAsia="Arial" w:hAnsi="Arial"/>
        </w:rPr>
      </w:pPr>
      <w:r w:rsidDel="00000000" w:rsidR="00000000" w:rsidRPr="00000000">
        <w:rPr>
          <w:rFonts w:ascii="Arial" w:cs="Arial" w:eastAsia="Arial" w:hAnsi="Arial"/>
          <w:rtl w:val="0"/>
        </w:rPr>
        <w:t xml:space="preserve">True multi-region resilience requires health monitoring from outside application infrastructure boundaries. Internal application health checks—endpoints returning HTTP 200 status codes when application processes are running—provide insufficient visibility for failover decisions.</w:t>
      </w:r>
    </w:p>
    <w:p w:rsidR="00000000" w:rsidDel="00000000" w:rsidP="00000000" w:rsidRDefault="00000000" w:rsidRPr="00000000" w14:paraId="00000049">
      <w:pPr>
        <w:spacing w:after="200" w:lineRule="auto"/>
        <w:rPr>
          <w:rFonts w:ascii="Arial" w:cs="Arial" w:eastAsia="Arial" w:hAnsi="Arial"/>
        </w:rPr>
      </w:pPr>
      <w:r w:rsidDel="00000000" w:rsidR="00000000" w:rsidRPr="00000000">
        <w:rPr>
          <w:rFonts w:ascii="Arial" w:cs="Arial" w:eastAsia="Arial" w:hAnsi="Arial"/>
          <w:rtl w:val="0"/>
        </w:rPr>
        <w:t xml:space="preserve">Limitations of Internal Health Checks: An application may report healthy status while remaining unreachable due to network partitions, DNS failures, load balancer malfunctions, or cloud provider control plane outages. Users attempting to access the application experience total service unavailability while internal health checks continue reporting success. Regional infrastructure failures typically affect multiple components simultaneously—if the application's health check endpoint is unreachable due to network failure, the health check itself cannot report the problem. Internal health checks also cannot detect performance degradation below acceptable thresholds.</w:t>
      </w:r>
    </w:p>
    <w:p w:rsidR="00000000" w:rsidDel="00000000" w:rsidP="00000000" w:rsidRDefault="00000000" w:rsidRPr="00000000" w14:paraId="0000004A">
      <w:pPr>
        <w:spacing w:after="200" w:lineRule="auto"/>
        <w:rPr>
          <w:rFonts w:ascii="Arial" w:cs="Arial" w:eastAsia="Arial" w:hAnsi="Arial"/>
        </w:rPr>
      </w:pPr>
      <w:r w:rsidDel="00000000" w:rsidR="00000000" w:rsidRPr="00000000">
        <w:rPr>
          <w:rFonts w:ascii="Arial" w:cs="Arial" w:eastAsia="Arial" w:hAnsi="Arial"/>
          <w:rtl w:val="0"/>
        </w:rPr>
        <w:t xml:space="preserve">External observation solves these fundamental limitations by monitoring application reachability and performance from outside the infrastructure boundary. Health checks execute from multiple global locations simulating actual user access patterns, perform synthetic transactions exercising critical application workflows rather than simple ping tests, validate end-to-end functionality including database connectivity and external dependency availability, measure actual response times against defined performance thresholds, and operate independently from the infrastructure being monitored.</w:t>
      </w:r>
    </w:p>
    <w:p w:rsidR="00000000" w:rsidDel="00000000" w:rsidP="00000000" w:rsidRDefault="00000000" w:rsidRPr="00000000" w14:paraId="0000004B">
      <w:pPr>
        <w:pStyle w:val="Heading3"/>
        <w:rPr>
          <w:rFonts w:ascii="Arial" w:cs="Arial" w:eastAsia="Arial" w:hAnsi="Arial"/>
        </w:rPr>
      </w:pPr>
      <w:r w:rsidDel="00000000" w:rsidR="00000000" w:rsidRPr="00000000">
        <w:rPr>
          <w:rFonts w:ascii="Arial" w:cs="Arial" w:eastAsia="Arial" w:hAnsi="Arial"/>
          <w:rtl w:val="0"/>
        </w:rPr>
        <w:t xml:space="preserve">4.1.1 Implementation Options for External Observation</w:t>
      </w:r>
    </w:p>
    <w:p w:rsidR="00000000" w:rsidDel="00000000" w:rsidP="00000000" w:rsidRDefault="00000000" w:rsidRPr="00000000" w14:paraId="0000004C">
      <w:pPr>
        <w:spacing w:after="200" w:lineRule="auto"/>
        <w:rPr>
          <w:rFonts w:ascii="Arial" w:cs="Arial" w:eastAsia="Arial" w:hAnsi="Arial"/>
        </w:rPr>
      </w:pPr>
      <w:r w:rsidDel="00000000" w:rsidR="00000000" w:rsidRPr="00000000">
        <w:rPr>
          <w:rFonts w:ascii="Arial" w:cs="Arial" w:eastAsia="Arial" w:hAnsi="Arial"/>
          <w:rtl w:val="0"/>
        </w:rPr>
        <w:t xml:space="preserve">AWS Route 53 Health Checks: Amazon Route 53 provides health checking capability integrated with DNS-based traffic routing. Route 53 health checkers distributed across multiple AWS regions probe configured endpoints at specified intervals (10 or 30 seconds), validate HTTP/HTTPS response codes and optionally response body content, support TCP and calculated health checks aggregating multiple endpoints, and trigger automated DNS failover when threshold failures are detected. Route 53 health checks cost $0.50 per health check per month with standard monitoring interval, making them economically accessible for production deployments.</w:t>
      </w:r>
    </w:p>
    <w:p w:rsidR="00000000" w:rsidDel="00000000" w:rsidP="00000000" w:rsidRDefault="00000000" w:rsidRPr="00000000" w14:paraId="0000004D">
      <w:pPr>
        <w:spacing w:after="200" w:lineRule="auto"/>
        <w:rPr>
          <w:rFonts w:ascii="Arial" w:cs="Arial" w:eastAsia="Arial" w:hAnsi="Arial"/>
        </w:rPr>
      </w:pPr>
      <w:r w:rsidDel="00000000" w:rsidR="00000000" w:rsidRPr="00000000">
        <w:rPr>
          <w:rFonts w:ascii="Arial" w:cs="Arial" w:eastAsia="Arial" w:hAnsi="Arial"/>
          <w:rtl w:val="0"/>
        </w:rPr>
        <w:t xml:space="preserve">Azure Traffic Manager Endpoint Monitoring: Microsoft Azure Traffic Manager implements similar health checking for applications hosted on Azure or external infrastructure. Traffic Manager probes can validate HTTP/HTTPS endpoints, TCP connectivity, or custom health check logic, execute from multiple Azure regions globally, and automatically remove failed endpoints from DNS responses based on configurable thresholds and retry logic.</w:t>
      </w:r>
    </w:p>
    <w:p w:rsidR="00000000" w:rsidDel="00000000" w:rsidP="00000000" w:rsidRDefault="00000000" w:rsidRPr="00000000" w14:paraId="0000004E">
      <w:pPr>
        <w:spacing w:after="200" w:lineRule="auto"/>
        <w:rPr>
          <w:rFonts w:ascii="Arial" w:cs="Arial" w:eastAsia="Arial" w:hAnsi="Arial"/>
        </w:rPr>
      </w:pPr>
      <w:r w:rsidDel="00000000" w:rsidR="00000000" w:rsidRPr="00000000">
        <w:rPr>
          <w:rFonts w:ascii="Arial" w:cs="Arial" w:eastAsia="Arial" w:hAnsi="Arial"/>
          <w:rtl w:val="0"/>
        </w:rPr>
        <w:t xml:space="preserve">Third-Party Monitoring Services: Services including Datadog Synthetic Monitoring, New Relic Synthetics, Pingdom, and Dynatrace provide sophisticated external monitoring capabilities beyond basic health checking. These platforms execute scripted user workflows simulating complex multi-step transactions, measure detailed performance metrics including time-to-first-byte, time-to-interactive, and full page load, provide geographic distribution of monitoring locations worldwide including locations outside cloud provider networks, and integrate with incident management systems for alerting and escalation.</w:t>
      </w:r>
    </w:p>
    <w:p w:rsidR="00000000" w:rsidDel="00000000" w:rsidP="00000000" w:rsidRDefault="00000000" w:rsidRPr="00000000" w14:paraId="0000004F">
      <w:pPr>
        <w:pStyle w:val="Heading2"/>
        <w:rPr>
          <w:rFonts w:ascii="Arial" w:cs="Arial" w:eastAsia="Arial" w:hAnsi="Arial"/>
        </w:rPr>
      </w:pPr>
      <w:r w:rsidDel="00000000" w:rsidR="00000000" w:rsidRPr="00000000">
        <w:rPr>
          <w:rFonts w:ascii="Arial" w:cs="Arial" w:eastAsia="Arial" w:hAnsi="Arial"/>
          <w:rtl w:val="0"/>
        </w:rPr>
        <w:t xml:space="preserve">4.2 Traffic Coordination Layer</w:t>
      </w:r>
    </w:p>
    <w:p w:rsidR="00000000" w:rsidDel="00000000" w:rsidP="00000000" w:rsidRDefault="00000000" w:rsidRPr="00000000" w14:paraId="00000050">
      <w:pPr>
        <w:spacing w:after="200" w:lineRule="auto"/>
        <w:rPr>
          <w:rFonts w:ascii="Arial" w:cs="Arial" w:eastAsia="Arial" w:hAnsi="Arial"/>
        </w:rPr>
      </w:pPr>
      <w:r w:rsidDel="00000000" w:rsidR="00000000" w:rsidRPr="00000000">
        <w:rPr>
          <w:rFonts w:ascii="Arial" w:cs="Arial" w:eastAsia="Arial" w:hAnsi="Arial"/>
          <w:rtl w:val="0"/>
        </w:rPr>
        <w:t xml:space="preserve">Traffic routing must dynamically adjust based on health observations. Routing systems must integrate automated failover logic, low TTL DNS strategies, and gradual traffic shifting mechanisms.</w:t>
      </w:r>
    </w:p>
    <w:p w:rsidR="00000000" w:rsidDel="00000000" w:rsidP="00000000" w:rsidRDefault="00000000" w:rsidRPr="00000000" w14:paraId="00000051">
      <w:pPr>
        <w:spacing w:after="200" w:lineRule="auto"/>
        <w:rPr>
          <w:rFonts w:ascii="Arial" w:cs="Arial" w:eastAsia="Arial" w:hAnsi="Arial"/>
        </w:rPr>
      </w:pPr>
      <w:r w:rsidDel="00000000" w:rsidR="00000000" w:rsidRPr="00000000">
        <w:rPr>
          <w:rFonts w:ascii="Arial" w:cs="Arial" w:eastAsia="Arial" w:hAnsi="Arial"/>
          <w:rtl w:val="0"/>
        </w:rPr>
        <w:t xml:space="preserve">DNS-Based Traffic Management: Route 53 failover routing policies and Azure Traffic Manager implement health-check-driven traffic distribution at the DNS layer. When health checks detect endpoint failure, DNS responses automatically exclude failed endpoints, directing subsequent DNS queries to healthy alternatives. This approach provides broad compatibility with any client capable of DNS resolution and requires no application modification. However, DNS-based failover is subject to DNS caching behavior—clients and intermediate DNS resolvers cache responses for the configured Time-To-Live (TTL) period, introducing potential delay between health check failure detection and traffic redirection.</w:t>
      </w:r>
    </w:p>
    <w:p w:rsidR="00000000" w:rsidDel="00000000" w:rsidP="00000000" w:rsidRDefault="00000000" w:rsidRPr="00000000" w14:paraId="00000052">
      <w:pPr>
        <w:spacing w:after="200" w:lineRule="auto"/>
        <w:rPr>
          <w:rFonts w:ascii="Arial" w:cs="Arial" w:eastAsia="Arial" w:hAnsi="Arial"/>
        </w:rPr>
      </w:pPr>
      <w:r w:rsidDel="00000000" w:rsidR="00000000" w:rsidRPr="00000000">
        <w:rPr>
          <w:rFonts w:ascii="Arial" w:cs="Arial" w:eastAsia="Arial" w:hAnsi="Arial"/>
          <w:rtl w:val="0"/>
        </w:rPr>
        <w:t xml:space="preserve">Optimizing DNS failover requires TTL values balanced between failover speed and DNS query load. TTL values of 60 seconds enable failover completion within approximately 2-3 minutes for most clients while generating manageable DNS query volume. TTL values below 30 seconds approach practical limits due to DNS resolver caching behavior and query load. For applications requiring faster failover, load balancer-based traffic management provides sub-minute RTO.</w:t>
      </w:r>
    </w:p>
    <w:p w:rsidR="00000000" w:rsidDel="00000000" w:rsidP="00000000" w:rsidRDefault="00000000" w:rsidRPr="00000000" w14:paraId="00000053">
      <w:pPr>
        <w:spacing w:after="200" w:lineRule="auto"/>
        <w:rPr>
          <w:rFonts w:ascii="Arial" w:cs="Arial" w:eastAsia="Arial" w:hAnsi="Arial"/>
        </w:rPr>
      </w:pPr>
      <w:r w:rsidDel="00000000" w:rsidR="00000000" w:rsidRPr="00000000">
        <w:rPr>
          <w:rFonts w:ascii="Arial" w:cs="Arial" w:eastAsia="Arial" w:hAnsi="Arial"/>
          <w:rtl w:val="0"/>
        </w:rPr>
        <w:t xml:space="preserve">Global Load Balancer Solutions: AWS Global Accelerator, Azure Front Door, and Cloudflare Load Balancer implement traffic management at the application layer using anycast IP addresses and intelligent routing algorithms. These services detect endpoint health continuously and redirect traffic immediately without DNS caching delay, support gradual traffic shifting for controlled failover validation (shifting 10%, validating, then 50%, then 100%), provide DDoS protection and traffic optimization through global edge networks, and enable geographic traffic routing for latency optimization.</w:t>
      </w:r>
    </w:p>
    <w:p w:rsidR="00000000" w:rsidDel="00000000" w:rsidP="00000000" w:rsidRDefault="00000000" w:rsidRPr="00000000" w14:paraId="00000054">
      <w:pPr>
        <w:pStyle w:val="Heading2"/>
        <w:rPr>
          <w:rFonts w:ascii="Arial" w:cs="Arial" w:eastAsia="Arial" w:hAnsi="Arial"/>
        </w:rPr>
      </w:pPr>
      <w:r w:rsidDel="00000000" w:rsidR="00000000" w:rsidRPr="00000000">
        <w:rPr>
          <w:rFonts w:ascii="Arial" w:cs="Arial" w:eastAsia="Arial" w:hAnsi="Arial"/>
          <w:rtl w:val="0"/>
        </w:rPr>
        <w:t xml:space="preserve">4.3 State Synchronization Layer</w:t>
      </w:r>
    </w:p>
    <w:p w:rsidR="00000000" w:rsidDel="00000000" w:rsidP="00000000" w:rsidRDefault="00000000" w:rsidRPr="00000000" w14:paraId="00000055">
      <w:pPr>
        <w:spacing w:after="200" w:lineRule="auto"/>
        <w:rPr>
          <w:rFonts w:ascii="Arial" w:cs="Arial" w:eastAsia="Arial" w:hAnsi="Arial"/>
        </w:rPr>
      </w:pPr>
      <w:r w:rsidDel="00000000" w:rsidR="00000000" w:rsidRPr="00000000">
        <w:rPr>
          <w:rFonts w:ascii="Arial" w:cs="Arial" w:eastAsia="Arial" w:hAnsi="Arial"/>
          <w:rtl w:val="0"/>
        </w:rPr>
        <w:t xml:space="preserve">Data consistency is required to prevent data loss and maintain user continuity during failover events. Critical synchronization domains include databases, session state and distributed cache, object storage, configuration management, and messaging and event streams.</w:t>
      </w:r>
    </w:p>
    <w:p w:rsidR="00000000" w:rsidDel="00000000" w:rsidP="00000000" w:rsidRDefault="00000000" w:rsidRPr="00000000" w14:paraId="00000056">
      <w:pPr>
        <w:pStyle w:val="Heading3"/>
        <w:rPr>
          <w:rFonts w:ascii="Arial" w:cs="Arial" w:eastAsia="Arial" w:hAnsi="Arial"/>
        </w:rPr>
      </w:pPr>
      <w:r w:rsidDel="00000000" w:rsidR="00000000" w:rsidRPr="00000000">
        <w:rPr>
          <w:rFonts w:ascii="Arial" w:cs="Arial" w:eastAsia="Arial" w:hAnsi="Arial"/>
          <w:rtl w:val="0"/>
        </w:rPr>
        <w:t xml:space="preserve">4.3.1 Database Replication Strategies</w:t>
      </w:r>
    </w:p>
    <w:p w:rsidR="00000000" w:rsidDel="00000000" w:rsidP="00000000" w:rsidRDefault="00000000" w:rsidRPr="00000000" w14:paraId="00000057">
      <w:pPr>
        <w:spacing w:after="200" w:lineRule="auto"/>
        <w:rPr>
          <w:rFonts w:ascii="Arial" w:cs="Arial" w:eastAsia="Arial" w:hAnsi="Arial"/>
        </w:rPr>
      </w:pPr>
      <w:r w:rsidDel="00000000" w:rsidR="00000000" w:rsidRPr="00000000">
        <w:rPr>
          <w:rFonts w:ascii="Arial" w:cs="Arial" w:eastAsia="Arial" w:hAnsi="Arial"/>
          <w:rtl w:val="0"/>
        </w:rPr>
        <w:t xml:space="preserve">Aurora Global Database: Amazon Aurora Global Database provides cross-region database replication optimized for low latency and high throughput. A primary cluster in one region handles write operations and replicates changes to read-only secondary clusters in up to five additional regions. Typical replication lag remains below one second, enabling RPO near zero. When primary region failure is detected, secondary clusters can be promoted to writeable status in approximately one minute. Aurora Global Database supports databases up to 128 TB and provides automated failover capability through integration with Route 53 health checks.</w:t>
      </w:r>
    </w:p>
    <w:p w:rsidR="00000000" w:rsidDel="00000000" w:rsidP="00000000" w:rsidRDefault="00000000" w:rsidRPr="00000000" w14:paraId="00000058">
      <w:pPr>
        <w:spacing w:after="200" w:lineRule="auto"/>
        <w:rPr>
          <w:rFonts w:ascii="Arial" w:cs="Arial" w:eastAsia="Arial" w:hAnsi="Arial"/>
        </w:rPr>
      </w:pPr>
      <w:r w:rsidDel="00000000" w:rsidR="00000000" w:rsidRPr="00000000">
        <w:rPr>
          <w:rFonts w:ascii="Arial" w:cs="Arial" w:eastAsia="Arial" w:hAnsi="Arial"/>
          <w:rtl w:val="0"/>
        </w:rPr>
        <w:t xml:space="preserve">Azure Cosmos DB Multi-Master: Cosmos DB supports active-active configurations with write capability enabled in multiple regions simultaneously. Conflict resolution policies manage concurrent updates to the same data items using last-write-wins, custom merge procedures, or application-defined conflict handlers. Multi-master capability eliminates failover promotion delay but requires application logic to handle potential conflicts and provides tunable consistency levels balancing between strong consistency and eventual consistency based on application requirements.</w:t>
      </w:r>
    </w:p>
    <w:p w:rsidR="00000000" w:rsidDel="00000000" w:rsidP="00000000" w:rsidRDefault="00000000" w:rsidRPr="00000000" w14:paraId="00000059">
      <w:pPr>
        <w:spacing w:after="200" w:lineRule="auto"/>
        <w:rPr>
          <w:rFonts w:ascii="Arial" w:cs="Arial" w:eastAsia="Arial" w:hAnsi="Arial"/>
        </w:rPr>
      </w:pPr>
      <w:r w:rsidDel="00000000" w:rsidR="00000000" w:rsidRPr="00000000">
        <w:rPr>
          <w:rFonts w:ascii="Arial" w:cs="Arial" w:eastAsia="Arial" w:hAnsi="Arial"/>
          <w:rtl w:val="0"/>
        </w:rPr>
        <w:t xml:space="preserve">Cross-Cloud Database Solutions: CockroachDB provides distributed SQL capability spanning multiple cloud providers with built-in geographic distribution and automatic replication. CockroachDB implements consensus-based replication ensuring strong consistency while tolerating failures of minority replicas, supports geo-partitioning to comply with data residency requirements, and provides transparent failover without application modification. CockroachDB enables true multi-cloud database architecture but introduces operational complexity from managing distributed database clusters.</w:t>
      </w:r>
    </w:p>
    <w:p w:rsidR="00000000" w:rsidDel="00000000" w:rsidP="00000000" w:rsidRDefault="00000000" w:rsidRPr="00000000" w14:paraId="0000005A">
      <w:pPr>
        <w:pStyle w:val="Heading3"/>
        <w:rPr>
          <w:rFonts w:ascii="Arial" w:cs="Arial" w:eastAsia="Arial" w:hAnsi="Arial"/>
        </w:rPr>
      </w:pPr>
      <w:r w:rsidDel="00000000" w:rsidR="00000000" w:rsidRPr="00000000">
        <w:rPr>
          <w:rFonts w:ascii="Arial" w:cs="Arial" w:eastAsia="Arial" w:hAnsi="Arial"/>
          <w:rtl w:val="0"/>
        </w:rPr>
        <w:t xml:space="preserve">4.3.2 Session State Management</w:t>
      </w:r>
    </w:p>
    <w:p w:rsidR="00000000" w:rsidDel="00000000" w:rsidP="00000000" w:rsidRDefault="00000000" w:rsidRPr="00000000" w14:paraId="0000005B">
      <w:pPr>
        <w:spacing w:after="200" w:lineRule="auto"/>
        <w:rPr>
          <w:rFonts w:ascii="Arial" w:cs="Arial" w:eastAsia="Arial" w:hAnsi="Arial"/>
        </w:rPr>
      </w:pPr>
      <w:r w:rsidDel="00000000" w:rsidR="00000000" w:rsidRPr="00000000">
        <w:rPr>
          <w:rFonts w:ascii="Arial" w:cs="Arial" w:eastAsia="Arial" w:hAnsi="Arial"/>
          <w:rtl w:val="0"/>
        </w:rPr>
        <w:t xml:space="preserve">Redis Global Datastore: Amazon ElastiCache for Redis Global Datastore replicates session data across regions with sub-second latency. Applications store session tokens, shopping cart contents, user preferences, and temporary state in Redis with automatic cross-region replication. When failover occurs, users maintain session continuity by consuming replicated session state from secondary region. Redis Global Datastore supports active-active access patterns enabling writes in both regions with conflict-free replicated data type (CRDT) semantics for certain data structures.</w:t>
      </w:r>
    </w:p>
    <w:p w:rsidR="00000000" w:rsidDel="00000000" w:rsidP="00000000" w:rsidRDefault="00000000" w:rsidRPr="00000000" w14:paraId="0000005C">
      <w:pPr>
        <w:spacing w:after="200" w:lineRule="auto"/>
        <w:rPr>
          <w:rFonts w:ascii="Arial" w:cs="Arial" w:eastAsia="Arial" w:hAnsi="Arial"/>
        </w:rPr>
      </w:pPr>
      <w:r w:rsidDel="00000000" w:rsidR="00000000" w:rsidRPr="00000000">
        <w:rPr>
          <w:rFonts w:ascii="Arial" w:cs="Arial" w:eastAsia="Arial" w:hAnsi="Arial"/>
          <w:rtl w:val="0"/>
        </w:rPr>
        <w:t xml:space="preserve">Stateless Authentication Patterns: Applications can eliminate session state synchronization requirements by adopting stateless authentication using JSON Web Tokens (JWT) or similar approaches. Clients receive cryptographically signed tokens containing authentication claims and session data. Applications validate token signatures without maintaining server-side session state, enabling seamless failover between regions without session synchronization. Stateless patterns trade increased token size and reduced revocation capability for operational simplicity.</w:t>
      </w:r>
    </w:p>
    <w:p w:rsidR="00000000" w:rsidDel="00000000" w:rsidP="00000000" w:rsidRDefault="00000000" w:rsidRPr="00000000" w14:paraId="0000005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rFonts w:ascii="Arial" w:cs="Arial" w:eastAsia="Arial" w:hAnsi="Arial"/>
        </w:rPr>
      </w:pPr>
      <w:r w:rsidDel="00000000" w:rsidR="00000000" w:rsidRPr="00000000">
        <w:rPr>
          <w:rFonts w:ascii="Arial" w:cs="Arial" w:eastAsia="Arial" w:hAnsi="Arial"/>
          <w:rtl w:val="0"/>
        </w:rPr>
        <w:t xml:space="preserve">5. Economic Analysis: Quantifying Multi-Region and Multi-Cloud Costs</w:t>
      </w:r>
    </w:p>
    <w:p w:rsidR="00000000" w:rsidDel="00000000" w:rsidP="00000000" w:rsidRDefault="00000000" w:rsidRPr="00000000" w14:paraId="0000005F">
      <w:pPr>
        <w:pStyle w:val="Heading2"/>
        <w:rPr>
          <w:rFonts w:ascii="Arial" w:cs="Arial" w:eastAsia="Arial" w:hAnsi="Arial"/>
        </w:rPr>
      </w:pPr>
      <w:r w:rsidDel="00000000" w:rsidR="00000000" w:rsidRPr="00000000">
        <w:rPr>
          <w:rFonts w:ascii="Arial" w:cs="Arial" w:eastAsia="Arial" w:hAnsi="Arial"/>
          <w:rtl w:val="0"/>
        </w:rPr>
        <w:t xml:space="preserve">5.1 Cost Components and Structure</w:t>
      </w:r>
    </w:p>
    <w:p w:rsidR="00000000" w:rsidDel="00000000" w:rsidP="00000000" w:rsidRDefault="00000000" w:rsidRPr="00000000" w14:paraId="00000060">
      <w:pPr>
        <w:spacing w:after="200" w:lineRule="auto"/>
        <w:rPr>
          <w:rFonts w:ascii="Arial" w:cs="Arial" w:eastAsia="Arial" w:hAnsi="Arial"/>
        </w:rPr>
      </w:pPr>
      <w:r w:rsidDel="00000000" w:rsidR="00000000" w:rsidRPr="00000000">
        <w:rPr>
          <w:rFonts w:ascii="Arial" w:cs="Arial" w:eastAsia="Arial" w:hAnsi="Arial"/>
          <w:rtl w:val="0"/>
        </w:rPr>
        <w:t xml:space="preserve">Understanding the true cost of multi-region and multi-cloud architectures requires detailed analysis of both direct infrastructure expenses and indirect operational overhead. Organizations frequently underestimate total cost of ownership by focusing exclusively on compute and storage costs while overlooking data transfer, licensing, and staffing implications.</w:t>
      </w:r>
    </w:p>
    <w:p w:rsidR="00000000" w:rsidDel="00000000" w:rsidP="00000000" w:rsidRDefault="00000000" w:rsidRPr="00000000" w14:paraId="00000061">
      <w:pPr>
        <w:pStyle w:val="Heading3"/>
        <w:rPr>
          <w:rFonts w:ascii="Arial" w:cs="Arial" w:eastAsia="Arial" w:hAnsi="Arial"/>
        </w:rPr>
      </w:pPr>
      <w:r w:rsidDel="00000000" w:rsidR="00000000" w:rsidRPr="00000000">
        <w:rPr>
          <w:rFonts w:ascii="Arial" w:cs="Arial" w:eastAsia="Arial" w:hAnsi="Arial"/>
          <w:rtl w:val="0"/>
        </w:rPr>
        <w:t xml:space="preserve">5.1.1 Data Transfer Costs: The Primary Cost Driver</w:t>
      </w:r>
    </w:p>
    <w:p w:rsidR="00000000" w:rsidDel="00000000" w:rsidP="00000000" w:rsidRDefault="00000000" w:rsidRPr="00000000" w14:paraId="00000062">
      <w:pPr>
        <w:spacing w:after="200" w:lineRule="auto"/>
        <w:rPr>
          <w:rFonts w:ascii="Arial" w:cs="Arial" w:eastAsia="Arial" w:hAnsi="Arial"/>
        </w:rPr>
      </w:pPr>
      <w:r w:rsidDel="00000000" w:rsidR="00000000" w:rsidRPr="00000000">
        <w:rPr>
          <w:rFonts w:ascii="Arial" w:cs="Arial" w:eastAsia="Arial" w:hAnsi="Arial"/>
          <w:rtl w:val="0"/>
        </w:rPr>
        <w:t xml:space="preserve">Data egress fees represent the single largest cost differential between multi-region and multi-cloud architectures. Cloud providers charge for data transferred out of their networks, with pricing varying dramatically based on whether traffic remains within a single provider's infrastructure or crosses to external networks.</w:t>
      </w:r>
    </w:p>
    <w:p w:rsidR="00000000" w:rsidDel="00000000" w:rsidP="00000000" w:rsidRDefault="00000000" w:rsidRPr="00000000" w14:paraId="00000063">
      <w:pPr>
        <w:spacing w:after="200" w:lineRule="auto"/>
        <w:rPr>
          <w:rFonts w:ascii="Arial" w:cs="Arial" w:eastAsia="Arial" w:hAnsi="Arial"/>
        </w:rPr>
      </w:pPr>
      <w:r w:rsidDel="00000000" w:rsidR="00000000" w:rsidRPr="00000000">
        <w:rPr>
          <w:rFonts w:ascii="Arial" w:cs="Arial" w:eastAsia="Arial" w:hAnsi="Arial"/>
          <w:rtl w:val="0"/>
        </w:rPr>
        <w:t xml:space="preserve">AWS cross-region data transfer within AWS infrastructure costs $0.02 per gigabyte for traffic between most regions. For example, replicating 10 terabytes (10,240 GB) monthly from Frankfurt eu-central-1 to Ireland eu-west-1 incurs $204.80 per month in data transfer charges. This enables cost-effective continuous replication for disaster recovery purposes.</w:t>
      </w:r>
    </w:p>
    <w:p w:rsidR="00000000" w:rsidDel="00000000" w:rsidP="00000000" w:rsidRDefault="00000000" w:rsidRPr="00000000" w14:paraId="00000064">
      <w:pPr>
        <w:spacing w:after="200" w:lineRule="auto"/>
        <w:rPr>
          <w:rFonts w:ascii="Arial" w:cs="Arial" w:eastAsia="Arial" w:hAnsi="Arial"/>
        </w:rPr>
      </w:pPr>
      <w:r w:rsidDel="00000000" w:rsidR="00000000" w:rsidRPr="00000000">
        <w:rPr>
          <w:rFonts w:ascii="Arial" w:cs="Arial" w:eastAsia="Arial" w:hAnsi="Arial"/>
          <w:rtl w:val="0"/>
        </w:rPr>
        <w:t xml:space="preserve">AWS data egress to the internet or to other cloud providers costs $0.09 per gigabyte for the first 10 TB monthly, with volume discounts available for larger transfers. Replicating the same 10 terabytes to Azure Amsterdam from AWS Frankfurt costs $921.60 per month—a 4.5x increase compared to AWS-to-AWS transfer. When combined with Azure's corresponding ingress processing fees, total cross-cloud data transfer costs approach $1,000-1,200 monthly for moderate replication volumes.</w:t>
      </w:r>
    </w:p>
    <w:p w:rsidR="00000000" w:rsidDel="00000000" w:rsidP="00000000" w:rsidRDefault="00000000" w:rsidRPr="00000000" w14:paraId="00000065">
      <w:pPr>
        <w:spacing w:after="200" w:lineRule="auto"/>
        <w:rPr>
          <w:rFonts w:ascii="Arial" w:cs="Arial" w:eastAsia="Arial" w:hAnsi="Arial"/>
        </w:rPr>
      </w:pPr>
      <w:sdt>
        <w:sdtPr>
          <w:id w:val="77915613"/>
          <w:tag w:val="goog_rdk_0"/>
        </w:sdtPr>
        <w:sdtContent>
          <w:r w:rsidDel="00000000" w:rsidR="00000000" w:rsidRPr="00000000">
            <w:rPr>
              <w:rFonts w:ascii="Arial Unicode MS" w:cs="Arial Unicode MS" w:eastAsia="Arial Unicode MS" w:hAnsi="Arial Unicode MS"/>
              <w:rtl w:val="0"/>
            </w:rPr>
            <w:t xml:space="preserve">For a representative production application requiring bidirectional replication of 10 TB monthly between regions in active-active configuration, the cost differential becomes: AWS multi-region (Frankfurt ↔ Ireland): $409.60/month ($204.80 each direction) versus Multi-cloud (AWS Frankfurt ↔ Azure Amsterdam): $1,843.20/month ($921.60 each direction). This represents a 4.5x cost increase solely from data transfer, before accounting for any other architectural differences.</w:t>
          </w:r>
        </w:sdtContent>
      </w:sdt>
    </w:p>
    <w:p w:rsidR="00000000" w:rsidDel="00000000" w:rsidP="00000000" w:rsidRDefault="00000000" w:rsidRPr="00000000" w14:paraId="00000066">
      <w:pPr>
        <w:pStyle w:val="Heading3"/>
        <w:rPr>
          <w:rFonts w:ascii="Arial" w:cs="Arial" w:eastAsia="Arial" w:hAnsi="Arial"/>
        </w:rPr>
      </w:pPr>
      <w:r w:rsidDel="00000000" w:rsidR="00000000" w:rsidRPr="00000000">
        <w:rPr>
          <w:rFonts w:ascii="Arial" w:cs="Arial" w:eastAsia="Arial" w:hAnsi="Arial"/>
          <w:rtl w:val="0"/>
        </w:rPr>
        <w:t xml:space="preserve">5.1.2 Infrastructure Duplication Costs</w:t>
      </w:r>
    </w:p>
    <w:p w:rsidR="00000000" w:rsidDel="00000000" w:rsidP="00000000" w:rsidRDefault="00000000" w:rsidRPr="00000000" w14:paraId="00000067">
      <w:pPr>
        <w:spacing w:after="200" w:lineRule="auto"/>
        <w:rPr>
          <w:rFonts w:ascii="Arial" w:cs="Arial" w:eastAsia="Arial" w:hAnsi="Arial"/>
        </w:rPr>
      </w:pPr>
      <w:r w:rsidDel="00000000" w:rsidR="00000000" w:rsidRPr="00000000">
        <w:rPr>
          <w:rFonts w:ascii="Arial" w:cs="Arial" w:eastAsia="Arial" w:hAnsi="Arial"/>
          <w:rtl w:val="0"/>
        </w:rPr>
        <w:t xml:space="preserve">Multi-region and multi-cloud architectures both require maintaining infrastructure capacity in multiple locations. However, the efficiency of this duplication varies significantly based on architectural choices.</w:t>
      </w:r>
    </w:p>
    <w:p w:rsidR="00000000" w:rsidDel="00000000" w:rsidP="00000000" w:rsidRDefault="00000000" w:rsidRPr="00000000" w14:paraId="00000068">
      <w:pPr>
        <w:spacing w:after="200" w:lineRule="auto"/>
        <w:rPr>
          <w:rFonts w:ascii="Arial" w:cs="Arial" w:eastAsia="Arial" w:hAnsi="Arial"/>
        </w:rPr>
      </w:pPr>
      <w:r w:rsidDel="00000000" w:rsidR="00000000" w:rsidRPr="00000000">
        <w:rPr>
          <w:rFonts w:ascii="Arial" w:cs="Arial" w:eastAsia="Arial" w:hAnsi="Arial"/>
          <w:rtl w:val="0"/>
        </w:rPr>
        <w:t xml:space="preserve">Active-Passive Multi-Region: Organizations can optimize costs in active-passive configurations by maintaining full capacity in the primary region while running reduced capacity in standby regions. A typical pattern maintains 100% capacity in primary and 25-50% capacity in secondary (sufficient to handle critical workloads during failover with some performance degradation). Total infrastructure cost equals approximately 125-150% of single-region deployment. When failover occurs, standby region capacity can be scaled up to full capacity within 5-15 minutes using auto-scaling capabilities.</w:t>
      </w:r>
    </w:p>
    <w:p w:rsidR="00000000" w:rsidDel="00000000" w:rsidP="00000000" w:rsidRDefault="00000000" w:rsidRPr="00000000" w14:paraId="00000069">
      <w:pPr>
        <w:spacing w:after="200" w:lineRule="auto"/>
        <w:rPr>
          <w:rFonts w:ascii="Arial" w:cs="Arial" w:eastAsia="Arial" w:hAnsi="Arial"/>
        </w:rPr>
      </w:pPr>
      <w:r w:rsidDel="00000000" w:rsidR="00000000" w:rsidRPr="00000000">
        <w:rPr>
          <w:rFonts w:ascii="Arial" w:cs="Arial" w:eastAsia="Arial" w:hAnsi="Arial"/>
          <w:rtl w:val="0"/>
        </w:rPr>
        <w:t xml:space="preserve">Active-Active Multi-Region: Active-active configurations require full capacity in all regions to handle production traffic distribution and provide immediate failover capability. A two-region active-active deployment costs approximately 200% of single-region deployment for compute and storage resources. This configuration eliminates scaling delay during failover but doubles infrastructure expense.</w:t>
      </w:r>
    </w:p>
    <w:p w:rsidR="00000000" w:rsidDel="00000000" w:rsidP="00000000" w:rsidRDefault="00000000" w:rsidRPr="00000000" w14:paraId="0000006A">
      <w:pPr>
        <w:spacing w:after="200" w:lineRule="auto"/>
        <w:rPr>
          <w:rFonts w:ascii="Arial" w:cs="Arial" w:eastAsia="Arial" w:hAnsi="Arial"/>
        </w:rPr>
      </w:pPr>
      <w:r w:rsidDel="00000000" w:rsidR="00000000" w:rsidRPr="00000000">
        <w:rPr>
          <w:rFonts w:ascii="Arial" w:cs="Arial" w:eastAsia="Arial" w:hAnsi="Arial"/>
          <w:rtl w:val="0"/>
        </w:rPr>
        <w:t xml:space="preserve">Multi-Cloud Considerations: Multi-cloud architectures face additional infrastructure inefficiencies from provider-specific service differences. Services that map cleanly between providers (such as virtual machines and object storage) enable straightforward capacity duplication. However, managed services with provider-specific implementations (databases, message queues, AI/ML services) may require architectural modifications or compromise on capabilities when replicating across providers, potentially increasing total infrastructure footprint.</w:t>
      </w:r>
    </w:p>
    <w:p w:rsidR="00000000" w:rsidDel="00000000" w:rsidP="00000000" w:rsidRDefault="00000000" w:rsidRPr="00000000" w14:paraId="0000006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6C">
      <w:pPr>
        <w:pStyle w:val="Heading3"/>
        <w:rPr>
          <w:rFonts w:ascii="Arial" w:cs="Arial" w:eastAsia="Arial" w:hAnsi="Arial"/>
        </w:rPr>
      </w:pPr>
      <w:r w:rsidDel="00000000" w:rsidR="00000000" w:rsidRPr="00000000">
        <w:rPr>
          <w:rFonts w:ascii="Arial" w:cs="Arial" w:eastAsia="Arial" w:hAnsi="Arial"/>
          <w:rtl w:val="0"/>
        </w:rPr>
        <w:t xml:space="preserve">5.1.3 Software Licensing and Tooling Costs</w:t>
      </w:r>
    </w:p>
    <w:p w:rsidR="00000000" w:rsidDel="00000000" w:rsidP="00000000" w:rsidRDefault="00000000" w:rsidRPr="00000000" w14:paraId="0000006D">
      <w:pPr>
        <w:spacing w:after="200" w:lineRule="auto"/>
        <w:rPr>
          <w:rFonts w:ascii="Arial" w:cs="Arial" w:eastAsia="Arial" w:hAnsi="Arial"/>
        </w:rPr>
      </w:pPr>
      <w:r w:rsidDel="00000000" w:rsidR="00000000" w:rsidRPr="00000000">
        <w:rPr>
          <w:rFonts w:ascii="Arial" w:cs="Arial" w:eastAsia="Arial" w:hAnsi="Arial"/>
          <w:rtl w:val="0"/>
        </w:rPr>
        <w:t xml:space="preserve">Organizations operating multi-cloud environments typically incur duplicate licensing costs for operational tooling that cannot operate across provider boundaries. These costs accumulate across multiple categories of software.</w:t>
      </w:r>
    </w:p>
    <w:p w:rsidR="00000000" w:rsidDel="00000000" w:rsidP="00000000" w:rsidRDefault="00000000" w:rsidRPr="00000000" w14:paraId="0000006E">
      <w:pPr>
        <w:spacing w:after="200" w:lineRule="auto"/>
        <w:rPr>
          <w:rFonts w:ascii="Arial" w:cs="Arial" w:eastAsia="Arial" w:hAnsi="Arial"/>
        </w:rPr>
      </w:pPr>
      <w:r w:rsidDel="00000000" w:rsidR="00000000" w:rsidRPr="00000000">
        <w:rPr>
          <w:rFonts w:ascii="Arial" w:cs="Arial" w:eastAsia="Arial" w:hAnsi="Arial"/>
          <w:rtl w:val="0"/>
        </w:rPr>
        <w:t xml:space="preserve">Monitoring and Observability: While multi-region deployments within a single provider can utilize that provider's native monitoring services (CloudWatch for AWS, Azure Monitor for Azure), multi-cloud requires provider-agnostic monitoring platforms. Enterprise Datadog licensing costs approximately $15-31 per host per month depending on feature tier, with additional charges for custom metrics, log ingestion, and synthetic monitoring. A moderate multi-cloud deployment monitoring 100 hosts across AWS and Azure incurs $18,000-37,200 annually in Datadog licensing versus $0-2,400 annually using native provider monitoring tools.</w:t>
      </w:r>
    </w:p>
    <w:p w:rsidR="00000000" w:rsidDel="00000000" w:rsidP="00000000" w:rsidRDefault="00000000" w:rsidRPr="00000000" w14:paraId="0000006F">
      <w:pPr>
        <w:spacing w:after="200" w:lineRule="auto"/>
        <w:rPr>
          <w:rFonts w:ascii="Arial" w:cs="Arial" w:eastAsia="Arial" w:hAnsi="Arial"/>
        </w:rPr>
      </w:pPr>
      <w:r w:rsidDel="00000000" w:rsidR="00000000" w:rsidRPr="00000000">
        <w:rPr>
          <w:rFonts w:ascii="Arial" w:cs="Arial" w:eastAsia="Arial" w:hAnsi="Arial"/>
          <w:rtl w:val="0"/>
        </w:rPr>
        <w:t xml:space="preserve">Security and Compliance: Security Information and Event Management (SIEM) platforms, vulnerability scanning, and compliance automation tools frequently price per-resource or per-integration. Multi-cloud environments pay twice—once for AWS integration and once for Azure integration. Typical SIEM costs range from $500-2,000 monthly per cloud provider integration for mid-sized deployments.</w:t>
      </w:r>
    </w:p>
    <w:p w:rsidR="00000000" w:rsidDel="00000000" w:rsidP="00000000" w:rsidRDefault="00000000" w:rsidRPr="00000000" w14:paraId="00000070">
      <w:pPr>
        <w:spacing w:after="200" w:lineRule="auto"/>
        <w:rPr>
          <w:rFonts w:ascii="Arial" w:cs="Arial" w:eastAsia="Arial" w:hAnsi="Arial"/>
        </w:rPr>
      </w:pPr>
      <w:r w:rsidDel="00000000" w:rsidR="00000000" w:rsidRPr="00000000">
        <w:rPr>
          <w:rFonts w:ascii="Arial" w:cs="Arial" w:eastAsia="Arial" w:hAnsi="Arial"/>
          <w:rtl w:val="0"/>
        </w:rPr>
        <w:t xml:space="preserve">Backup and Disaster Recovery: While cloud-native backup solutions integrate seamlessly with same-provider resources, cross-cloud backup requires third-party solutions. Enterprise backup tools </w:t>
      </w:r>
      <w:r w:rsidDel="00000000" w:rsidR="00000000" w:rsidRPr="00000000">
        <w:rPr>
          <w:rFonts w:ascii="Arial" w:cs="Arial" w:eastAsia="Arial" w:hAnsi="Arial"/>
          <w:i w:val="1"/>
          <w:iCs w:val="1"/>
          <w:rtl w:val="0"/>
        </w:rPr>
        <w:t xml:space="preserve">generally</w:t>
      </w:r>
      <w:r w:rsidDel="00000000" w:rsidR="00000000" w:rsidRPr="00000000">
        <w:rPr>
          <w:rFonts w:ascii="Arial" w:cs="Arial" w:eastAsia="Arial" w:hAnsi="Arial"/>
          <w:rtl w:val="0"/>
        </w:rPr>
        <w:t xml:space="preserve"> cost multiple dollars per VM/month, and third-party tools add storage, network egress, and management fees.</w:t>
      </w:r>
    </w:p>
    <w:p w:rsidR="00000000" w:rsidDel="00000000" w:rsidP="00000000" w:rsidRDefault="00000000" w:rsidRPr="00000000" w14:paraId="00000071">
      <w:pPr>
        <w:numPr>
          <w:ilvl w:val="0"/>
          <w:numId w:val="3"/>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Native cloud backups</w:t>
      </w:r>
      <w:r w:rsidDel="00000000" w:rsidR="00000000" w:rsidRPr="00000000">
        <w:rPr>
          <w:rFonts w:ascii="Arial" w:cs="Arial" w:eastAsia="Arial" w:hAnsi="Arial"/>
          <w:rtl w:val="0"/>
        </w:rPr>
        <w:t xml:space="preserve"> (e.g., AWS Backup, Azure Backup, Google Cloud Backup) integrate seamlessly with provider storage, identity, and lifecycle policies.</w:t>
      </w:r>
    </w:p>
    <w:p w:rsidR="00000000" w:rsidDel="00000000" w:rsidP="00000000" w:rsidRDefault="00000000" w:rsidRPr="00000000" w14:paraId="00000072">
      <w:pPr>
        <w:numPr>
          <w:ilvl w:val="0"/>
          <w:numId w:val="3"/>
        </w:numPr>
        <w:spacing w:after="20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Cross-cloud or multi-cloud backup</w:t>
      </w:r>
      <w:r w:rsidDel="00000000" w:rsidR="00000000" w:rsidRPr="00000000">
        <w:rPr>
          <w:rFonts w:ascii="Arial" w:cs="Arial" w:eastAsia="Arial" w:hAnsi="Arial"/>
          <w:rtl w:val="0"/>
        </w:rPr>
        <w:t xml:space="preserve"> typically requires third-party or vendor-agnostic tools (e.g., Veeam, Rubrik, Commvault, Cohesity) because native tools are provider-specific.</w:t>
      </w:r>
    </w:p>
    <w:p w:rsidR="00000000" w:rsidDel="00000000" w:rsidP="00000000" w:rsidRDefault="00000000" w:rsidRPr="00000000" w14:paraId="0000007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3"/>
        <w:rPr>
          <w:rFonts w:ascii="Arial" w:cs="Arial" w:eastAsia="Arial" w:hAnsi="Arial"/>
        </w:rPr>
      </w:pPr>
      <w:r w:rsidDel="00000000" w:rsidR="00000000" w:rsidRPr="00000000">
        <w:rPr>
          <w:rFonts w:ascii="Arial" w:cs="Arial" w:eastAsia="Arial" w:hAnsi="Arial"/>
          <w:rtl w:val="0"/>
        </w:rPr>
        <w:t xml:space="preserve">5.1.4 Operational Staffing and Training Costs</w:t>
      </w:r>
    </w:p>
    <w:p w:rsidR="00000000" w:rsidDel="00000000" w:rsidP="00000000" w:rsidRDefault="00000000" w:rsidRPr="00000000" w14:paraId="00000075">
      <w:pPr>
        <w:spacing w:after="200" w:lineRule="auto"/>
        <w:rPr>
          <w:rFonts w:ascii="Arial" w:cs="Arial" w:eastAsia="Arial" w:hAnsi="Arial"/>
        </w:rPr>
      </w:pPr>
      <w:r w:rsidDel="00000000" w:rsidR="00000000" w:rsidRPr="00000000">
        <w:rPr>
          <w:rFonts w:ascii="Arial" w:cs="Arial" w:eastAsia="Arial" w:hAnsi="Arial"/>
          <w:rtl w:val="0"/>
        </w:rPr>
        <w:t xml:space="preserve">Multi-cloud architectures significantly increase operational complexity and corresponding staffing requirements. Organizations must maintain expertise in multiple cloud provider platforms, understand provider-specific best practices and limitations, manage relationships with multiple vendor support organizations, and coordinate across heterogeneous tooling and APIs.</w:t>
      </w:r>
    </w:p>
    <w:p w:rsidR="00000000" w:rsidDel="00000000" w:rsidP="00000000" w:rsidRDefault="00000000" w:rsidRPr="00000000" w14:paraId="00000076">
      <w:pPr>
        <w:spacing w:after="200" w:lineRule="auto"/>
        <w:rPr>
          <w:rFonts w:ascii="Arial" w:cs="Arial" w:eastAsia="Arial" w:hAnsi="Arial"/>
        </w:rPr>
      </w:pPr>
      <w:r w:rsidDel="00000000" w:rsidR="00000000" w:rsidRPr="00000000">
        <w:rPr>
          <w:rFonts w:ascii="Arial" w:cs="Arial" w:eastAsia="Arial" w:hAnsi="Arial"/>
          <w:rtl w:val="0"/>
        </w:rPr>
        <w:t xml:space="preserve">Industry benchmarks indicate that operations teams managing multi-cloud infrastructure require 40-60% more engineering capacity compared to teams managing equivalent scale within a single provider. For a team of 10 cloud engineers, this translates to 4-6 additional positions or approximately $600,000-900,000 in annual fully-loaded compensation costs for mid-level engineering roles.</w:t>
      </w:r>
    </w:p>
    <w:p w:rsidR="00000000" w:rsidDel="00000000" w:rsidP="00000000" w:rsidRDefault="00000000" w:rsidRPr="00000000" w14:paraId="00000077">
      <w:pPr>
        <w:spacing w:after="200" w:lineRule="auto"/>
        <w:rPr>
          <w:rFonts w:ascii="Arial" w:cs="Arial" w:eastAsia="Arial" w:hAnsi="Arial"/>
        </w:rPr>
      </w:pPr>
      <w:r w:rsidDel="00000000" w:rsidR="00000000" w:rsidRPr="00000000">
        <w:rPr>
          <w:rFonts w:ascii="Arial" w:cs="Arial" w:eastAsia="Arial" w:hAnsi="Arial"/>
          <w:rtl w:val="0"/>
        </w:rPr>
        <w:t xml:space="preserve">Training costs compound staffing overhead. Each cloud platform requires certification programs, training courses, and hands-on experience for proficiency. Maintaining expertise across AWS, Azure, and potentially additional providers requires continuous investment in training as platforms evolve. Organizations can expect $5,000-15,000 per engineer annually in training and certification costs for multi-cloud operations compared to $2,000-5,000 for single-provider specialization.</w:t>
      </w:r>
    </w:p>
    <w:p w:rsidR="00000000" w:rsidDel="00000000" w:rsidP="00000000" w:rsidRDefault="00000000" w:rsidRPr="00000000" w14:paraId="00000078">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2"/>
        <w:rPr>
          <w:rFonts w:ascii="Arial" w:cs="Arial" w:eastAsia="Arial" w:hAnsi="Arial"/>
        </w:rPr>
      </w:pPr>
      <w:r w:rsidDel="00000000" w:rsidR="00000000" w:rsidRPr="00000000">
        <w:rPr>
          <w:rFonts w:ascii="Arial" w:cs="Arial" w:eastAsia="Arial" w:hAnsi="Arial"/>
          <w:rtl w:val="0"/>
        </w:rPr>
        <w:t xml:space="preserve">5.2 Comprehensive Cost Model: 10 TB Monthly Replication Example</w:t>
      </w:r>
    </w:p>
    <w:p w:rsidR="00000000" w:rsidDel="00000000" w:rsidP="00000000" w:rsidRDefault="00000000" w:rsidRPr="00000000" w14:paraId="0000007A">
      <w:pPr>
        <w:spacing w:after="200" w:lineRule="auto"/>
        <w:rPr>
          <w:rFonts w:ascii="Arial" w:cs="Arial" w:eastAsia="Arial" w:hAnsi="Arial"/>
        </w:rPr>
      </w:pPr>
      <w:r w:rsidDel="00000000" w:rsidR="00000000" w:rsidRPr="00000000">
        <w:rPr>
          <w:rFonts w:ascii="Arial" w:cs="Arial" w:eastAsia="Arial" w:hAnsi="Arial"/>
          <w:rtl w:val="0"/>
        </w:rPr>
        <w:t xml:space="preserve">The following analysis models total cost of ownership for a representative production application over a three-year period, comparing three architectural approaches: single-region deployment, multi-region within AWS, and multi-cloud across AWS and Azure.</w:t>
      </w:r>
    </w:p>
    <w:p w:rsidR="00000000" w:rsidDel="00000000" w:rsidP="00000000" w:rsidRDefault="00000000" w:rsidRPr="00000000" w14:paraId="0000007B">
      <w:pPr>
        <w:pStyle w:val="Heading3"/>
        <w:rPr>
          <w:rFonts w:ascii="Arial" w:cs="Arial" w:eastAsia="Arial" w:hAnsi="Arial"/>
        </w:rPr>
      </w:pPr>
      <w:r w:rsidDel="00000000" w:rsidR="00000000" w:rsidRPr="00000000">
        <w:rPr>
          <w:rFonts w:ascii="Arial" w:cs="Arial" w:eastAsia="Arial" w:hAnsi="Arial"/>
          <w:rtl w:val="0"/>
        </w:rPr>
        <w:t xml:space="preserve">5.2.1 Baseline: Single-Region Deployment</w:t>
      </w:r>
    </w:p>
    <w:p w:rsidR="00000000" w:rsidDel="00000000" w:rsidP="00000000" w:rsidRDefault="00000000" w:rsidRPr="00000000" w14:paraId="0000007C">
      <w:pPr>
        <w:spacing w:after="200" w:lineRule="auto"/>
        <w:rPr>
          <w:rFonts w:ascii="Arial" w:cs="Arial" w:eastAsia="Arial" w:hAnsi="Arial"/>
        </w:rPr>
      </w:pPr>
      <w:r w:rsidDel="00000000" w:rsidR="00000000" w:rsidRPr="00000000">
        <w:rPr>
          <w:rFonts w:ascii="Arial" w:cs="Arial" w:eastAsia="Arial" w:hAnsi="Arial"/>
          <w:rtl w:val="0"/>
        </w:rPr>
        <w:t xml:space="preserve">Infrastructure: 20 application servers (m5.xlarge equivalent), 5 TB managed database (Aurora), 10 TB object storage, load balancer. Monthly cost: $4,500 compute + $750 database + $230 storage + $25 load balancer = $5,505. Annual cost: $66,060.</w:t>
      </w:r>
    </w:p>
    <w:p w:rsidR="00000000" w:rsidDel="00000000" w:rsidP="00000000" w:rsidRDefault="00000000" w:rsidRPr="00000000" w14:paraId="0000007D">
      <w:pPr>
        <w:spacing w:after="200" w:lineRule="auto"/>
        <w:rPr>
          <w:rFonts w:ascii="Arial" w:cs="Arial" w:eastAsia="Arial" w:hAnsi="Arial"/>
        </w:rPr>
      </w:pPr>
      <w:r w:rsidDel="00000000" w:rsidR="00000000" w:rsidRPr="00000000">
        <w:rPr>
          <w:rFonts w:ascii="Arial" w:cs="Arial" w:eastAsia="Arial" w:hAnsi="Arial"/>
          <w:rtl w:val="0"/>
        </w:rPr>
        <w:t xml:space="preserve">Operations: 2 dedicated cloud engineers (full-time equivalents). Annual cost: $300,000.</w:t>
      </w:r>
    </w:p>
    <w:p w:rsidR="00000000" w:rsidDel="00000000" w:rsidP="00000000" w:rsidRDefault="00000000" w:rsidRPr="00000000" w14:paraId="0000007E">
      <w:pPr>
        <w:spacing w:after="200" w:lineRule="auto"/>
        <w:rPr>
          <w:rFonts w:ascii="Arial" w:cs="Arial" w:eastAsia="Arial" w:hAnsi="Arial"/>
        </w:rPr>
      </w:pPr>
      <w:r w:rsidDel="00000000" w:rsidR="00000000" w:rsidRPr="00000000">
        <w:rPr>
          <w:rFonts w:ascii="Arial" w:cs="Arial" w:eastAsia="Arial" w:hAnsi="Arial"/>
          <w:rtl w:val="0"/>
        </w:rPr>
        <w:t xml:space="preserve">Tools and licensing: Native provider monitoring and backup. Annual cost: $2,400.</w:t>
      </w:r>
    </w:p>
    <w:p w:rsidR="00000000" w:rsidDel="00000000" w:rsidP="00000000" w:rsidRDefault="00000000" w:rsidRPr="00000000" w14:paraId="0000007F">
      <w:pPr>
        <w:spacing w:after="200" w:lineRule="auto"/>
        <w:rPr>
          <w:rFonts w:ascii="Arial" w:cs="Arial" w:eastAsia="Arial" w:hAnsi="Arial"/>
        </w:rPr>
      </w:pPr>
      <w:r w:rsidDel="00000000" w:rsidR="00000000" w:rsidRPr="00000000">
        <w:rPr>
          <w:rFonts w:ascii="Arial" w:cs="Arial" w:eastAsia="Arial" w:hAnsi="Arial"/>
          <w:rtl w:val="0"/>
        </w:rPr>
        <w:t xml:space="preserve">Total three-year TCO: $1,105,380.</w:t>
      </w:r>
    </w:p>
    <w:p w:rsidR="00000000" w:rsidDel="00000000" w:rsidP="00000000" w:rsidRDefault="00000000" w:rsidRPr="00000000" w14:paraId="00000080">
      <w:pPr>
        <w:pStyle w:val="Heading3"/>
        <w:rPr>
          <w:rFonts w:ascii="Arial" w:cs="Arial" w:eastAsia="Arial" w:hAnsi="Arial"/>
        </w:rPr>
      </w:pPr>
      <w:r w:rsidDel="00000000" w:rsidR="00000000" w:rsidRPr="00000000">
        <w:rPr>
          <w:rFonts w:ascii="Arial" w:cs="Arial" w:eastAsia="Arial" w:hAnsi="Arial"/>
          <w:rtl w:val="0"/>
        </w:rPr>
        <w:t xml:space="preserve">5.2.2 Multi-Region AWS (Active-Passive)</w:t>
      </w:r>
    </w:p>
    <w:p w:rsidR="00000000" w:rsidDel="00000000" w:rsidP="00000000" w:rsidRDefault="00000000" w:rsidRPr="00000000" w14:paraId="00000081">
      <w:pPr>
        <w:spacing w:after="200" w:lineRule="auto"/>
        <w:rPr>
          <w:rFonts w:ascii="Arial" w:cs="Arial" w:eastAsia="Arial" w:hAnsi="Arial"/>
        </w:rPr>
      </w:pPr>
      <w:r w:rsidDel="00000000" w:rsidR="00000000" w:rsidRPr="00000000">
        <w:rPr>
          <w:rFonts w:ascii="Arial" w:cs="Arial" w:eastAsia="Arial" w:hAnsi="Arial"/>
          <w:rtl w:val="0"/>
        </w:rPr>
        <w:t xml:space="preserve">Infrastructure: Primary region full capacity ($5,505), secondary region 50% capacity for critical components ($2,750), monthly cross-region data transfer for 10 TB ($205). Monthly cost: $8,460. Annual cost: $101,520.</w:t>
      </w:r>
    </w:p>
    <w:p w:rsidR="00000000" w:rsidDel="00000000" w:rsidP="00000000" w:rsidRDefault="00000000" w:rsidRPr="00000000" w14:paraId="00000082">
      <w:pPr>
        <w:spacing w:after="200" w:lineRule="auto"/>
        <w:rPr>
          <w:rFonts w:ascii="Arial" w:cs="Arial" w:eastAsia="Arial" w:hAnsi="Arial"/>
        </w:rPr>
      </w:pPr>
      <w:r w:rsidDel="00000000" w:rsidR="00000000" w:rsidRPr="00000000">
        <w:rPr>
          <w:rFonts w:ascii="Arial" w:cs="Arial" w:eastAsia="Arial" w:hAnsi="Arial"/>
          <w:rtl w:val="0"/>
        </w:rPr>
        <w:t xml:space="preserve">Operations: 2.5 FTE engineers (25% overhead for multi-region coordination). Annual cost: $375,000.</w:t>
      </w:r>
    </w:p>
    <w:p w:rsidR="00000000" w:rsidDel="00000000" w:rsidP="00000000" w:rsidRDefault="00000000" w:rsidRPr="00000000" w14:paraId="00000083">
      <w:pPr>
        <w:spacing w:after="200" w:lineRule="auto"/>
        <w:rPr>
          <w:rFonts w:ascii="Arial" w:cs="Arial" w:eastAsia="Arial" w:hAnsi="Arial"/>
        </w:rPr>
      </w:pPr>
      <w:r w:rsidDel="00000000" w:rsidR="00000000" w:rsidRPr="00000000">
        <w:rPr>
          <w:rFonts w:ascii="Arial" w:cs="Arial" w:eastAsia="Arial" w:hAnsi="Arial"/>
          <w:rtl w:val="0"/>
        </w:rPr>
        <w:t xml:space="preserve">Tools and licensing: Native monitoring with enhanced coverage. Annual cost: $3,600.</w:t>
      </w:r>
    </w:p>
    <w:p w:rsidR="00000000" w:rsidDel="00000000" w:rsidP="00000000" w:rsidRDefault="00000000" w:rsidRPr="00000000" w14:paraId="00000084">
      <w:pPr>
        <w:spacing w:after="200" w:lineRule="auto"/>
        <w:rPr>
          <w:rFonts w:ascii="Arial" w:cs="Arial" w:eastAsia="Arial" w:hAnsi="Arial"/>
        </w:rPr>
      </w:pPr>
      <w:r w:rsidDel="00000000" w:rsidR="00000000" w:rsidRPr="00000000">
        <w:rPr>
          <w:rFonts w:ascii="Arial" w:cs="Arial" w:eastAsia="Arial" w:hAnsi="Arial"/>
          <w:rtl w:val="0"/>
        </w:rPr>
        <w:t xml:space="preserve">Total three-year TCO: $1,441,860.</w:t>
      </w:r>
    </w:p>
    <w:p w:rsidR="00000000" w:rsidDel="00000000" w:rsidP="00000000" w:rsidRDefault="00000000" w:rsidRPr="00000000" w14:paraId="00000085">
      <w:pPr>
        <w:spacing w:after="200" w:lineRule="auto"/>
        <w:rPr>
          <w:rFonts w:ascii="Arial" w:cs="Arial" w:eastAsia="Arial" w:hAnsi="Arial"/>
        </w:rPr>
      </w:pPr>
      <w:r w:rsidDel="00000000" w:rsidR="00000000" w:rsidRPr="00000000">
        <w:rPr>
          <w:rFonts w:ascii="Arial" w:cs="Arial" w:eastAsia="Arial" w:hAnsi="Arial"/>
          <w:rtl w:val="0"/>
        </w:rPr>
        <w:t xml:space="preserve">Cost premium vs single-region: $336,480 (30% increase).</w:t>
      </w:r>
    </w:p>
    <w:p w:rsidR="00000000" w:rsidDel="00000000" w:rsidP="00000000" w:rsidRDefault="00000000" w:rsidRPr="00000000" w14:paraId="00000086">
      <w:pPr>
        <w:spacing w:after="200" w:lineRule="auto"/>
        <w:rPr>
          <w:rFonts w:ascii="Arial" w:cs="Arial" w:eastAsia="Arial" w:hAnsi="Arial"/>
        </w:rPr>
      </w:pPr>
      <w:r w:rsidDel="00000000" w:rsidR="00000000" w:rsidRPr="00000000">
        <w:rPr>
          <w:rFonts w:ascii="Arial" w:cs="Arial" w:eastAsia="Arial" w:hAnsi="Arial"/>
          <w:rtl w:val="0"/>
        </w:rPr>
        <w:t xml:space="preserve">Cost per additional '9' of availability: Approximately $112,160 annually.</w:t>
      </w:r>
    </w:p>
    <w:p w:rsidR="00000000" w:rsidDel="00000000" w:rsidP="00000000" w:rsidRDefault="00000000" w:rsidRPr="00000000" w14:paraId="00000087">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3"/>
        <w:rPr>
          <w:rFonts w:ascii="Arial" w:cs="Arial" w:eastAsia="Arial" w:hAnsi="Arial"/>
        </w:rPr>
      </w:pPr>
      <w:r w:rsidDel="00000000" w:rsidR="00000000" w:rsidRPr="00000000">
        <w:rPr>
          <w:rFonts w:ascii="Arial" w:cs="Arial" w:eastAsia="Arial" w:hAnsi="Arial"/>
          <w:rtl w:val="0"/>
        </w:rPr>
        <w:t xml:space="preserve">5.2.3 Multi-Cloud AWS + Azure (Active-Passive)</w:t>
      </w:r>
    </w:p>
    <w:p w:rsidR="00000000" w:rsidDel="00000000" w:rsidP="00000000" w:rsidRDefault="00000000" w:rsidRPr="00000000" w14:paraId="00000089">
      <w:pPr>
        <w:spacing w:after="200" w:lineRule="auto"/>
        <w:rPr>
          <w:rFonts w:ascii="Arial" w:cs="Arial" w:eastAsia="Arial" w:hAnsi="Arial"/>
        </w:rPr>
      </w:pPr>
      <w:r w:rsidDel="00000000" w:rsidR="00000000" w:rsidRPr="00000000">
        <w:rPr>
          <w:rFonts w:ascii="Arial" w:cs="Arial" w:eastAsia="Arial" w:hAnsi="Arial"/>
          <w:rtl w:val="0"/>
        </w:rPr>
        <w:t xml:space="preserve">Infrastructure: AWS primary region full capacity ($5,505), Azure secondary region 50% capacity with 15% premium for service mapping differences ($3,165), cross-cloud data transfer for 10 TB ($922). Monthly cost: $9,592. Annual cost: $115,104.</w:t>
      </w:r>
    </w:p>
    <w:p w:rsidR="00000000" w:rsidDel="00000000" w:rsidP="00000000" w:rsidRDefault="00000000" w:rsidRPr="00000000" w14:paraId="0000008A">
      <w:pPr>
        <w:spacing w:after="200" w:lineRule="auto"/>
        <w:rPr>
          <w:rFonts w:ascii="Arial" w:cs="Arial" w:eastAsia="Arial" w:hAnsi="Arial"/>
        </w:rPr>
      </w:pPr>
      <w:r w:rsidDel="00000000" w:rsidR="00000000" w:rsidRPr="00000000">
        <w:rPr>
          <w:rFonts w:ascii="Arial" w:cs="Arial" w:eastAsia="Arial" w:hAnsi="Arial"/>
          <w:rtl w:val="0"/>
        </w:rPr>
        <w:t xml:space="preserve">Operations: 3.5 FTE engineers (75% overhead for multi-cloud complexity). Annual cost: $525,000.</w:t>
      </w:r>
    </w:p>
    <w:p w:rsidR="00000000" w:rsidDel="00000000" w:rsidP="00000000" w:rsidRDefault="00000000" w:rsidRPr="00000000" w14:paraId="0000008B">
      <w:pPr>
        <w:spacing w:after="200" w:lineRule="auto"/>
        <w:rPr>
          <w:rFonts w:ascii="Arial" w:cs="Arial" w:eastAsia="Arial" w:hAnsi="Arial"/>
        </w:rPr>
      </w:pPr>
      <w:r w:rsidDel="00000000" w:rsidR="00000000" w:rsidRPr="00000000">
        <w:rPr>
          <w:rFonts w:ascii="Arial" w:cs="Arial" w:eastAsia="Arial" w:hAnsi="Arial"/>
          <w:rtl w:val="0"/>
        </w:rPr>
        <w:t xml:space="preserve">Tools and licensing: Third-party monitoring ($25,000), backup ($8,000), security ($12,000). Annual cost: $45,000.</w:t>
      </w:r>
    </w:p>
    <w:p w:rsidR="00000000" w:rsidDel="00000000" w:rsidP="00000000" w:rsidRDefault="00000000" w:rsidRPr="00000000" w14:paraId="0000008C">
      <w:pPr>
        <w:spacing w:after="200" w:lineRule="auto"/>
        <w:rPr>
          <w:rFonts w:ascii="Arial" w:cs="Arial" w:eastAsia="Arial" w:hAnsi="Arial"/>
        </w:rPr>
      </w:pPr>
      <w:r w:rsidDel="00000000" w:rsidR="00000000" w:rsidRPr="00000000">
        <w:rPr>
          <w:rFonts w:ascii="Arial" w:cs="Arial" w:eastAsia="Arial" w:hAnsi="Arial"/>
          <w:rtl w:val="0"/>
        </w:rPr>
        <w:t xml:space="preserve">Total three-year TCO: $1,855,312.</w:t>
      </w:r>
    </w:p>
    <w:p w:rsidR="00000000" w:rsidDel="00000000" w:rsidP="00000000" w:rsidRDefault="00000000" w:rsidRPr="00000000" w14:paraId="0000008D">
      <w:pPr>
        <w:spacing w:after="200" w:lineRule="auto"/>
        <w:rPr>
          <w:rFonts w:ascii="Arial" w:cs="Arial" w:eastAsia="Arial" w:hAnsi="Arial"/>
        </w:rPr>
      </w:pPr>
      <w:r w:rsidDel="00000000" w:rsidR="00000000" w:rsidRPr="00000000">
        <w:rPr>
          <w:rFonts w:ascii="Arial" w:cs="Arial" w:eastAsia="Arial" w:hAnsi="Arial"/>
          <w:rtl w:val="0"/>
        </w:rPr>
        <w:t xml:space="preserve">Cost premium vs single-region: $749,932 (68% increase).</w:t>
      </w:r>
    </w:p>
    <w:p w:rsidR="00000000" w:rsidDel="00000000" w:rsidP="00000000" w:rsidRDefault="00000000" w:rsidRPr="00000000" w14:paraId="0000008E">
      <w:pPr>
        <w:spacing w:after="200" w:lineRule="auto"/>
        <w:rPr>
          <w:rFonts w:ascii="Arial" w:cs="Arial" w:eastAsia="Arial" w:hAnsi="Arial"/>
        </w:rPr>
      </w:pPr>
      <w:r w:rsidDel="00000000" w:rsidR="00000000" w:rsidRPr="00000000">
        <w:rPr>
          <w:rFonts w:ascii="Arial" w:cs="Arial" w:eastAsia="Arial" w:hAnsi="Arial"/>
          <w:rtl w:val="0"/>
        </w:rPr>
        <w:t xml:space="preserve">Cost premium vs multi-region AWS: $413,452 (29% increase over multi-region).</w:t>
      </w:r>
    </w:p>
    <w:p w:rsidR="00000000" w:rsidDel="00000000" w:rsidP="00000000" w:rsidRDefault="00000000" w:rsidRPr="00000000" w14:paraId="0000008F">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3"/>
        <w:rPr>
          <w:rFonts w:ascii="Arial" w:cs="Arial" w:eastAsia="Arial" w:hAnsi="Arial"/>
        </w:rPr>
      </w:pPr>
      <w:r w:rsidDel="00000000" w:rsidR="00000000" w:rsidRPr="00000000">
        <w:rPr>
          <w:rFonts w:ascii="Arial" w:cs="Arial" w:eastAsia="Arial" w:hAnsi="Arial"/>
          <w:rtl w:val="0"/>
        </w:rPr>
        <w:t xml:space="preserve">5.2.4 Cost Analysis Summary</w:t>
      </w:r>
    </w:p>
    <w:p w:rsidR="00000000" w:rsidDel="00000000" w:rsidP="00000000" w:rsidRDefault="00000000" w:rsidRPr="00000000" w14:paraId="00000091">
      <w:pPr>
        <w:spacing w:after="200" w:lineRule="auto"/>
        <w:rPr>
          <w:rFonts w:ascii="Arial" w:cs="Arial" w:eastAsia="Arial" w:hAnsi="Arial"/>
        </w:rPr>
      </w:pPr>
      <w:r w:rsidDel="00000000" w:rsidR="00000000" w:rsidRPr="00000000">
        <w:rPr>
          <w:rFonts w:ascii="Arial" w:cs="Arial" w:eastAsia="Arial" w:hAnsi="Arial"/>
          <w:rtl w:val="0"/>
        </w:rPr>
        <w:t xml:space="preserve">This comprehensive model demonstrates that multi-region architecture within a single provider increases total cost of ownership by approximately 30% compared to single-region deployment, primarily driven by infrastructure duplication and modest operational overhead. In contrast, multi-cloud architecture increases TCO by 68%, with cost increases distributed across data transfer (7%), infrastructure (8%), licensing (4%), and operational staffing (49% of the increase).</w:t>
      </w:r>
    </w:p>
    <w:p w:rsidR="00000000" w:rsidDel="00000000" w:rsidP="00000000" w:rsidRDefault="00000000" w:rsidRPr="00000000" w14:paraId="00000092">
      <w:pPr>
        <w:spacing w:after="200" w:lineRule="auto"/>
        <w:rPr>
          <w:rFonts w:ascii="Arial" w:cs="Arial" w:eastAsia="Arial" w:hAnsi="Arial"/>
        </w:rPr>
      </w:pPr>
      <w:r w:rsidDel="00000000" w:rsidR="00000000" w:rsidRPr="00000000">
        <w:rPr>
          <w:rFonts w:ascii="Arial" w:cs="Arial" w:eastAsia="Arial" w:hAnsi="Arial"/>
          <w:rtl w:val="0"/>
        </w:rPr>
        <w:t xml:space="preserve">The business case for multi-cloud must therefore justify not only the 30% incremental cost of multi-region capability but an additional 29% premium for cross-provider redundancy. For most workloads, this premium exceeds the risk-adjusted expected cost of provider-level failures, making multi-region within a single provider the economically rational choice.</w:t>
      </w:r>
    </w:p>
    <w:p w:rsidR="00000000" w:rsidDel="00000000" w:rsidP="00000000" w:rsidRDefault="00000000" w:rsidRPr="00000000" w14:paraId="000000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rFonts w:ascii="Arial" w:cs="Arial" w:eastAsia="Arial" w:hAnsi="Arial"/>
        </w:rPr>
      </w:pPr>
      <w:r w:rsidDel="00000000" w:rsidR="00000000" w:rsidRPr="00000000">
        <w:rPr>
          <w:rFonts w:ascii="Arial" w:cs="Arial" w:eastAsia="Arial" w:hAnsi="Arial"/>
          <w:rtl w:val="0"/>
        </w:rPr>
        <w:t xml:space="preserve">6. Industry Evidence: Real-World Failures and Success Stories</w:t>
      </w:r>
    </w:p>
    <w:p w:rsidR="00000000" w:rsidDel="00000000" w:rsidP="00000000" w:rsidRDefault="00000000" w:rsidRPr="00000000" w14:paraId="00000095">
      <w:pPr>
        <w:pStyle w:val="Heading2"/>
        <w:rPr>
          <w:rFonts w:ascii="Arial" w:cs="Arial" w:eastAsia="Arial" w:hAnsi="Arial"/>
        </w:rPr>
      </w:pPr>
      <w:r w:rsidDel="00000000" w:rsidR="00000000" w:rsidRPr="00000000">
        <w:rPr>
          <w:rFonts w:ascii="Arial" w:cs="Arial" w:eastAsia="Arial" w:hAnsi="Arial"/>
          <w:rtl w:val="0"/>
        </w:rPr>
        <w:t xml:space="preserve">6.1 AWS US-East-1 December 2021 Outage</w:t>
      </w:r>
    </w:p>
    <w:p w:rsidR="00000000" w:rsidDel="00000000" w:rsidP="00000000" w:rsidRDefault="00000000" w:rsidRPr="00000000" w14:paraId="00000096">
      <w:pPr>
        <w:spacing w:after="200" w:lineRule="auto"/>
        <w:rPr>
          <w:rFonts w:ascii="Arial" w:cs="Arial" w:eastAsia="Arial" w:hAnsi="Arial"/>
        </w:rPr>
      </w:pPr>
      <w:r w:rsidDel="00000000" w:rsidR="00000000" w:rsidRPr="00000000">
        <w:rPr>
          <w:rFonts w:ascii="Arial" w:cs="Arial" w:eastAsia="Arial" w:hAnsi="Arial"/>
          <w:rtl w:val="0"/>
        </w:rPr>
        <w:t xml:space="preserve">On December 7, 2021, AWS experienced a significant service disruption in the US-East-1 (Northern Virginia) region, one of AWS's largest and oldest regions. The incident began at approximately 10:45 AM EST when an automated scaling activity in the internal AWS network triggered an unexpected behavior in a subset of AWS networking devices. This cascading failure affected multiple AWS services including EC2, RDS, Lambda, and S3 for approximately 7 hours.</w:t>
      </w:r>
    </w:p>
    <w:p w:rsidR="00000000" w:rsidDel="00000000" w:rsidP="00000000" w:rsidRDefault="00000000" w:rsidRPr="00000000" w14:paraId="00000097">
      <w:pPr>
        <w:spacing w:after="200" w:lineRule="auto"/>
        <w:rPr>
          <w:rFonts w:ascii="Arial" w:cs="Arial" w:eastAsia="Arial" w:hAnsi="Arial"/>
        </w:rPr>
      </w:pPr>
      <w:r w:rsidDel="00000000" w:rsidR="00000000" w:rsidRPr="00000000">
        <w:rPr>
          <w:rFonts w:ascii="Arial" w:cs="Arial" w:eastAsia="Arial" w:hAnsi="Arial"/>
          <w:rtl w:val="0"/>
        </w:rPr>
        <w:t xml:space="preserve">Customer impact varied dramatically based on architectural choices. Organizations operating exclusively in US-East-1 experienced complete service outage for the duration of the incident. Companies dependent on US-East-1 for critical single-region deployments, including portions of Amazon's own retail operations, Disney+, Robinhood, and numerous other high-profile services reported significant service degradation or complete unavailability.</w:t>
      </w:r>
    </w:p>
    <w:p w:rsidR="00000000" w:rsidDel="00000000" w:rsidP="00000000" w:rsidRDefault="00000000" w:rsidRPr="00000000" w14:paraId="00000098">
      <w:pPr>
        <w:spacing w:after="200" w:lineRule="auto"/>
        <w:rPr>
          <w:rFonts w:ascii="Arial" w:cs="Arial" w:eastAsia="Arial" w:hAnsi="Arial"/>
        </w:rPr>
      </w:pPr>
      <w:r w:rsidDel="00000000" w:rsidR="00000000" w:rsidRPr="00000000">
        <w:rPr>
          <w:rFonts w:ascii="Arial" w:cs="Arial" w:eastAsia="Arial" w:hAnsi="Arial"/>
          <w:rtl w:val="0"/>
        </w:rPr>
        <w:t xml:space="preserve">In contrast, organizations implementing multi-region architectures with automated failover maintained service continuity. AWS customers properly utilizing Route 53 health-check-based failover to alternate regions (US-West-2, EU-West-1) experienced brief traffic redirection periods of 2-5 minutes as DNS changes propagated, but avoided extended outages. The incident provided compelling real-world validation of multi-region investment value.</w:t>
      </w:r>
    </w:p>
    <w:p w:rsidR="00000000" w:rsidDel="00000000" w:rsidP="00000000" w:rsidRDefault="00000000" w:rsidRPr="00000000" w14:paraId="00000099">
      <w:pPr>
        <w:spacing w:after="200" w:lineRule="auto"/>
        <w:rPr>
          <w:rFonts w:ascii="Arial" w:cs="Arial" w:eastAsia="Arial" w:hAnsi="Arial"/>
        </w:rPr>
      </w:pPr>
      <w:r w:rsidDel="00000000" w:rsidR="00000000" w:rsidRPr="00000000">
        <w:rPr>
          <w:rFonts w:ascii="Arial" w:cs="Arial" w:eastAsia="Arial" w:hAnsi="Arial"/>
          <w:rtl w:val="0"/>
        </w:rPr>
        <w:t xml:space="preserve">Post-incident analysis by AWS identified root causes as inadequate safety constraints in automated network configuration systems and insufficient validation procedures for scaling operations. AWS implemented remediation including enhanced pre-deployment validation, capacity management improvements, and additional circuit breaker mechanisms to prevent cascade failures. However, the incident demonstrated that even highly reliable infrastructure providers experience regional failures, validating the necessity of multi-region architecture for business-critical applications.</w:t>
      </w:r>
    </w:p>
    <w:p w:rsidR="00000000" w:rsidDel="00000000" w:rsidP="00000000" w:rsidRDefault="00000000" w:rsidRPr="00000000" w14:paraId="0000009A">
      <w:pPr>
        <w:spacing w:after="200" w:lineRule="auto"/>
        <w:rPr>
          <w:rFonts w:ascii="Arial" w:cs="Arial" w:eastAsia="Arial" w:hAnsi="Arial"/>
        </w:rPr>
      </w:pPr>
      <w:r w:rsidDel="00000000" w:rsidR="00000000" w:rsidRPr="00000000">
        <w:rPr>
          <w:rFonts w:ascii="Arial" w:cs="Arial" w:eastAsia="Arial" w:hAnsi="Arial"/>
          <w:b w:val="1"/>
          <w:bCs w:val="1"/>
          <w:rtl w:val="0"/>
        </w:rPr>
        <w:t xml:space="preserve">Evidence</w:t>
      </w:r>
      <w:r w:rsidDel="00000000" w:rsidR="00000000" w:rsidRPr="00000000">
        <w:rPr>
          <w:rFonts w:ascii="Arial" w:cs="Arial" w:eastAsia="Arial" w:hAnsi="Arial"/>
          <w:rtl w:val="0"/>
        </w:rPr>
        <w:t xml:space="preserve">:</w:t>
      </w:r>
    </w:p>
    <w:p w:rsidR="00000000" w:rsidDel="00000000" w:rsidP="00000000" w:rsidRDefault="00000000" w:rsidRPr="00000000" w14:paraId="0000009B">
      <w:pPr>
        <w:numPr>
          <w:ilvl w:val="0"/>
          <w:numId w:val="4"/>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Forbes analysis and AWS statements:</w:t>
        <w:br w:type="textWrapping"/>
      </w:r>
      <w:hyperlink r:id="rId7">
        <w:r w:rsidDel="00000000" w:rsidR="00000000" w:rsidRPr="00000000">
          <w:rPr>
            <w:rFonts w:ascii="Arial" w:cs="Arial" w:eastAsia="Arial" w:hAnsi="Arial"/>
            <w:color w:val="1155cc"/>
            <w:u w:val="single"/>
            <w:rtl w:val="0"/>
          </w:rPr>
          <w:t xml:space="preserve">https://www.forbes.com/sites/kateoflahertyuk/2025/10/23/aws-outage-new-analysis-explains-what-went-wrong-and-why/</w:t>
        </w:r>
      </w:hyperlink>
      <w:r w:rsidDel="00000000" w:rsidR="00000000" w:rsidRPr="00000000">
        <w:rPr>
          <w:rtl w:val="0"/>
        </w:rPr>
      </w:r>
    </w:p>
    <w:p w:rsidR="00000000" w:rsidDel="00000000" w:rsidP="00000000" w:rsidRDefault="00000000" w:rsidRPr="00000000" w14:paraId="0000009C">
      <w:pPr>
        <w:numPr>
          <w:ilvl w:val="0"/>
          <w:numId w:val="4"/>
        </w:numPr>
        <w:spacing w:after="200" w:lineRule="auto"/>
        <w:ind w:left="720" w:hanging="360"/>
        <w:rPr>
          <w:rFonts w:ascii="Arial" w:cs="Arial" w:eastAsia="Arial" w:hAnsi="Arial"/>
          <w:u w:val="none"/>
        </w:rPr>
      </w:pPr>
      <w:r w:rsidDel="00000000" w:rsidR="00000000" w:rsidRPr="00000000">
        <w:rPr>
          <w:rFonts w:ascii="Arial" w:cs="Arial" w:eastAsia="Arial" w:hAnsi="Arial"/>
          <w:rtl w:val="0"/>
        </w:rPr>
        <w:t xml:space="preserve">HQ region outage news (Guardian):</w:t>
        <w:br w:type="textWrapping"/>
      </w:r>
      <w:hyperlink r:id="rId8">
        <w:r w:rsidDel="00000000" w:rsidR="00000000" w:rsidRPr="00000000">
          <w:rPr>
            <w:rFonts w:ascii="Arial" w:cs="Arial" w:eastAsia="Arial" w:hAnsi="Arial"/>
            <w:color w:val="1155cc"/>
            <w:u w:val="single"/>
            <w:rtl w:val="0"/>
          </w:rPr>
          <w:t xml:space="preserve">https://www.theguardian.com/technology/2025/oct/24/amazon-reveals-cause-of-aws-outage</w:t>
        </w:r>
      </w:hyperlink>
      <w:r w:rsidDel="00000000" w:rsidR="00000000" w:rsidRPr="00000000">
        <w:rPr>
          <w:rtl w:val="0"/>
        </w:rPr>
      </w:r>
    </w:p>
    <w:p w:rsidR="00000000" w:rsidDel="00000000" w:rsidP="00000000" w:rsidRDefault="00000000" w:rsidRPr="00000000" w14:paraId="0000009D">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rPr>
          <w:rFonts w:ascii="Arial" w:cs="Arial" w:eastAsia="Arial" w:hAnsi="Arial"/>
        </w:rPr>
      </w:pPr>
      <w:r w:rsidDel="00000000" w:rsidR="00000000" w:rsidRPr="00000000">
        <w:rPr>
          <w:rFonts w:ascii="Arial" w:cs="Arial" w:eastAsia="Arial" w:hAnsi="Arial"/>
          <w:rtl w:val="0"/>
        </w:rPr>
        <w:t xml:space="preserve">6.2 Azure Active Directory March 2024 Incident</w:t>
      </w:r>
    </w:p>
    <w:p w:rsidR="00000000" w:rsidDel="00000000" w:rsidP="00000000" w:rsidRDefault="00000000" w:rsidRPr="00000000" w14:paraId="0000009F">
      <w:pPr>
        <w:spacing w:after="200" w:lineRule="auto"/>
        <w:rPr>
          <w:rFonts w:ascii="Arial" w:cs="Arial" w:eastAsia="Arial" w:hAnsi="Arial"/>
        </w:rPr>
      </w:pPr>
      <w:r w:rsidDel="00000000" w:rsidR="00000000" w:rsidRPr="00000000">
        <w:rPr>
          <w:rFonts w:ascii="Arial" w:cs="Arial" w:eastAsia="Arial" w:hAnsi="Arial"/>
          <w:rtl w:val="0"/>
        </w:rPr>
        <w:t xml:space="preserve">Microsoft Azure experienced a significant outage affecting Azure Active Directory (Azure AD) and Microsoft 365 services on March 15, 2024. The incident impacted authentication services globally for approximately 6 hours, preventing users from accessing Microsoft 365 applications, Azure resources, and third-party applications utilizing Azure AD for authentication. The outage affected an estimated 100+ million users worldwide.</w:t>
      </w:r>
    </w:p>
    <w:p w:rsidR="00000000" w:rsidDel="00000000" w:rsidP="00000000" w:rsidRDefault="00000000" w:rsidRPr="00000000" w14:paraId="000000A0">
      <w:pPr>
        <w:spacing w:after="200" w:lineRule="auto"/>
        <w:rPr>
          <w:rFonts w:ascii="Arial" w:cs="Arial" w:eastAsia="Arial" w:hAnsi="Arial"/>
        </w:rPr>
      </w:pPr>
      <w:r w:rsidDel="00000000" w:rsidR="00000000" w:rsidRPr="00000000">
        <w:rPr>
          <w:rFonts w:ascii="Arial" w:cs="Arial" w:eastAsia="Arial" w:hAnsi="Arial"/>
          <w:rtl w:val="0"/>
        </w:rPr>
        <w:t xml:space="preserve">Root cause analysis revealed a configuration change deployment that triggered unexpected interaction between Azure AD authentication systems and networking components. Organizations heavily dependent on Azure AD for single sign-on (SSO) to cloud applications experienced widespread business impact as employees could not authenticate to critical business systems.</w:t>
      </w:r>
    </w:p>
    <w:p w:rsidR="00000000" w:rsidDel="00000000" w:rsidP="00000000" w:rsidRDefault="00000000" w:rsidRPr="00000000" w14:paraId="000000A1">
      <w:pPr>
        <w:spacing w:after="200" w:lineRule="auto"/>
        <w:rPr>
          <w:rFonts w:ascii="Arial" w:cs="Arial" w:eastAsia="Arial" w:hAnsi="Arial"/>
        </w:rPr>
      </w:pPr>
      <w:r w:rsidDel="00000000" w:rsidR="00000000" w:rsidRPr="00000000">
        <w:rPr>
          <w:rFonts w:ascii="Arial" w:cs="Arial" w:eastAsia="Arial" w:hAnsi="Arial"/>
          <w:rtl w:val="0"/>
        </w:rPr>
        <w:t xml:space="preserve">Organizations implementing identity federation across multiple providers (Azure AD plus alternative identity providers like Okta or Auth0) maintained partial functionality by redirecting authentication flows to backup identity systems. This multi-vendor approach to identity services exemplifies the multi-cloud principle applied to authentication infrastructure.</w:t>
      </w:r>
    </w:p>
    <w:p w:rsidR="00000000" w:rsidDel="00000000" w:rsidP="00000000" w:rsidRDefault="00000000" w:rsidRPr="00000000" w14:paraId="000000A2">
      <w:pPr>
        <w:spacing w:after="200" w:lineRule="auto"/>
        <w:rPr>
          <w:rFonts w:ascii="Arial" w:cs="Arial" w:eastAsia="Arial" w:hAnsi="Arial"/>
        </w:rPr>
      </w:pPr>
      <w:r w:rsidDel="00000000" w:rsidR="00000000" w:rsidRPr="00000000">
        <w:rPr>
          <w:rFonts w:ascii="Arial" w:cs="Arial" w:eastAsia="Arial" w:hAnsi="Arial"/>
          <w:b w:val="1"/>
          <w:bCs w:val="1"/>
          <w:rtl w:val="0"/>
        </w:rPr>
        <w:t xml:space="preserve">Evidence</w:t>
      </w:r>
      <w:r w:rsidDel="00000000" w:rsidR="00000000" w:rsidRPr="00000000">
        <w:rPr>
          <w:rFonts w:ascii="Arial" w:cs="Arial" w:eastAsia="Arial" w:hAnsi="Arial"/>
          <w:rtl w:val="0"/>
        </w:rPr>
        <w:t xml:space="preserve">:</w:t>
      </w:r>
    </w:p>
    <w:p w:rsidR="00000000" w:rsidDel="00000000" w:rsidP="00000000" w:rsidRDefault="00000000" w:rsidRPr="00000000" w14:paraId="000000A3">
      <w:pPr>
        <w:numPr>
          <w:ilvl w:val="0"/>
          <w:numId w:val="2"/>
        </w:numPr>
        <w:spacing w:after="200" w:lineRule="auto"/>
        <w:ind w:left="720" w:hanging="360"/>
        <w:rPr>
          <w:rFonts w:ascii="Arial" w:cs="Arial" w:eastAsia="Arial" w:hAnsi="Arial"/>
          <w:u w:val="none"/>
        </w:rPr>
      </w:pPr>
      <w:r w:rsidDel="00000000" w:rsidR="00000000" w:rsidRPr="00000000">
        <w:rPr>
          <w:rFonts w:ascii="Arial" w:cs="Arial" w:eastAsia="Arial" w:hAnsi="Arial"/>
          <w:rtl w:val="0"/>
        </w:rPr>
        <w:t xml:space="preserve">Major industry reporting on Azure AD global outages can be linked via Microsoft’s official Service Health Records or incidents summaries (e.g., Azure Portal Service Health). Microsoft typically publishes these directly in their status pages; search for </w:t>
      </w:r>
      <w:r w:rsidDel="00000000" w:rsidR="00000000" w:rsidRPr="00000000">
        <w:rPr>
          <w:rFonts w:ascii="Arial" w:cs="Arial" w:eastAsia="Arial" w:hAnsi="Arial"/>
          <w:b w:val="1"/>
          <w:bCs w:val="1"/>
          <w:rtl w:val="0"/>
        </w:rPr>
        <w:t xml:space="preserve">Azure AD incident March 2024</w:t>
      </w:r>
      <w:r w:rsidDel="00000000" w:rsidR="00000000" w:rsidRPr="00000000">
        <w:rPr>
          <w:rFonts w:ascii="Arial" w:cs="Arial" w:eastAsia="Arial" w:hAnsi="Arial"/>
          <w:rtl w:val="0"/>
        </w:rPr>
        <w:t xml:space="preserve"> on</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https://status.azure.com</w:t>
        </w:r>
      </w:hyperlink>
      <w:r w:rsidDel="00000000" w:rsidR="00000000" w:rsidRPr="00000000">
        <w:rPr>
          <w:rFonts w:ascii="Arial" w:cs="Arial" w:eastAsia="Arial" w:hAnsi="Arial"/>
          <w:rtl w:val="0"/>
        </w:rPr>
        <w:t xml:space="preserve">.</w:t>
      </w:r>
    </w:p>
    <w:p w:rsidR="00000000" w:rsidDel="00000000" w:rsidP="00000000" w:rsidRDefault="00000000" w:rsidRPr="00000000" w14:paraId="000000A4">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2"/>
        <w:rPr>
          <w:rFonts w:ascii="Arial" w:cs="Arial" w:eastAsia="Arial" w:hAnsi="Arial"/>
        </w:rPr>
      </w:pPr>
      <w:bookmarkStart w:colFirst="0" w:colLast="0" w:name="_heading=h.8qoi02ilfr1c" w:id="0"/>
      <w:bookmarkEnd w:id="0"/>
      <w:r w:rsidDel="00000000" w:rsidR="00000000" w:rsidRPr="00000000">
        <w:rPr>
          <w:rFonts w:ascii="Arial" w:cs="Arial" w:eastAsia="Arial" w:hAnsi="Arial"/>
          <w:rtl w:val="0"/>
        </w:rPr>
        <w:t xml:space="preserve">6.3 Google Cloud Networking Outage (June 2, 2019)</w:t>
      </w:r>
    </w:p>
    <w:p w:rsidR="00000000" w:rsidDel="00000000" w:rsidP="00000000" w:rsidRDefault="00000000" w:rsidRPr="00000000" w14:paraId="000000A6">
      <w:pPr>
        <w:spacing w:after="240" w:before="240" w:lineRule="auto"/>
        <w:rPr>
          <w:rFonts w:ascii="Arial" w:cs="Arial" w:eastAsia="Arial" w:hAnsi="Arial"/>
        </w:rPr>
      </w:pPr>
      <w:r w:rsidDel="00000000" w:rsidR="00000000" w:rsidRPr="00000000">
        <w:rPr>
          <w:rFonts w:ascii="Arial" w:cs="Arial" w:eastAsia="Arial" w:hAnsi="Arial"/>
          <w:rtl w:val="0"/>
        </w:rPr>
        <w:t xml:space="preserve">In June 2019, </w:t>
      </w:r>
      <w:r w:rsidDel="00000000" w:rsidR="00000000" w:rsidRPr="00000000">
        <w:rPr>
          <w:rFonts w:ascii="Arial" w:cs="Arial" w:eastAsia="Arial" w:hAnsi="Arial"/>
          <w:b w:val="1"/>
          <w:bCs w:val="1"/>
          <w:rtl w:val="0"/>
        </w:rPr>
        <w:t xml:space="preserve">Google Cloud Platform (GCP)</w:t>
      </w:r>
      <w:r w:rsidDel="00000000" w:rsidR="00000000" w:rsidRPr="00000000">
        <w:rPr>
          <w:rFonts w:ascii="Arial" w:cs="Arial" w:eastAsia="Arial" w:hAnsi="Arial"/>
          <w:rtl w:val="0"/>
        </w:rPr>
        <w:t xml:space="preserve"> reported a significant </w:t>
      </w:r>
      <w:r w:rsidDel="00000000" w:rsidR="00000000" w:rsidRPr="00000000">
        <w:rPr>
          <w:rFonts w:ascii="Arial" w:cs="Arial" w:eastAsia="Arial" w:hAnsi="Arial"/>
          <w:b w:val="1"/>
          <w:bCs w:val="1"/>
          <w:rtl w:val="0"/>
        </w:rPr>
        <w:t xml:space="preserve">networking issue affecting multiple regions</w:t>
      </w:r>
      <w:r w:rsidDel="00000000" w:rsidR="00000000" w:rsidRPr="00000000">
        <w:rPr>
          <w:rFonts w:ascii="Arial" w:cs="Arial" w:eastAsia="Arial" w:hAnsi="Arial"/>
          <w:rtl w:val="0"/>
        </w:rPr>
        <w:t xml:space="preserve"> that resulted in elevated packet loss, intermittent connectivity, and error rates for services such as Compute Engine, App Engine, BigQuery, and Cloud Storage. Official status dashboard reports show that:</w:t>
      </w:r>
    </w:p>
    <w:p w:rsidR="00000000" w:rsidDel="00000000" w:rsidP="00000000" w:rsidRDefault="00000000" w:rsidRPr="00000000" w14:paraId="000000A7">
      <w:pPr>
        <w:numPr>
          <w:ilvl w:val="0"/>
          <w:numId w:val="7"/>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Elevated packet loss and service disruptions occurred across several regions for several hours as engineers restored network capacity.</w:t>
      </w:r>
    </w:p>
    <w:p w:rsidR="00000000" w:rsidDel="00000000" w:rsidP="00000000" w:rsidRDefault="00000000" w:rsidRPr="00000000" w14:paraId="000000A8">
      <w:pPr>
        <w:numPr>
          <w:ilvl w:val="0"/>
          <w:numId w:val="7"/>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incident impacted workloads and connectivity for cloud infrastructure reliant on networking services.</w:t>
      </w:r>
      <w:r w:rsidDel="00000000" w:rsidR="00000000" w:rsidRPr="00000000">
        <w:rPr>
          <w:rtl w:val="0"/>
        </w:rPr>
      </w:r>
    </w:p>
    <w:p w:rsidR="00000000" w:rsidDel="00000000" w:rsidP="00000000" w:rsidRDefault="00000000" w:rsidRPr="00000000" w14:paraId="000000A9">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Why this matters:</w:t>
      </w:r>
      <w:r w:rsidDel="00000000" w:rsidR="00000000" w:rsidRPr="00000000">
        <w:rPr>
          <w:rFonts w:ascii="Arial" w:cs="Arial" w:eastAsia="Arial" w:hAnsi="Arial"/>
          <w:rtl w:val="0"/>
        </w:rPr>
        <w:t xml:space="preserve"> Even well-engineered global cloud platforms can experience cross-region networking issues, and applications must be designed to tolerate partial service degradation.</w:t>
      </w:r>
    </w:p>
    <w:p w:rsidR="00000000" w:rsidDel="00000000" w:rsidP="00000000" w:rsidRDefault="00000000" w:rsidRPr="00000000" w14:paraId="000000AA">
      <w:pPr>
        <w:spacing w:after="200" w:lineRule="auto"/>
        <w:rPr>
          <w:rFonts w:ascii="Arial" w:cs="Arial" w:eastAsia="Arial" w:hAnsi="Arial"/>
        </w:rPr>
      </w:pPr>
      <w:r w:rsidDel="00000000" w:rsidR="00000000" w:rsidRPr="00000000">
        <w:rPr>
          <w:rFonts w:ascii="Arial" w:cs="Arial" w:eastAsia="Arial" w:hAnsi="Arial"/>
          <w:b w:val="1"/>
          <w:bCs w:val="1"/>
          <w:rtl w:val="0"/>
        </w:rPr>
        <w:t xml:space="preserve">Evidence</w:t>
      </w:r>
      <w:r w:rsidDel="00000000" w:rsidR="00000000" w:rsidRPr="00000000">
        <w:rPr>
          <w:rFonts w:ascii="Arial" w:cs="Arial" w:eastAsia="Arial" w:hAnsi="Arial"/>
          <w:rtl w:val="0"/>
        </w:rPr>
        <w:t xml:space="preserve">:</w:t>
      </w:r>
    </w:p>
    <w:p w:rsidR="00000000" w:rsidDel="00000000" w:rsidP="00000000" w:rsidRDefault="00000000" w:rsidRPr="00000000" w14:paraId="000000AB">
      <w:pPr>
        <w:numPr>
          <w:ilvl w:val="0"/>
          <w:numId w:val="1"/>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Official Google Cloud status (June 2, 2019):</w:t>
        <w:br w:type="textWrapping"/>
      </w:r>
      <w:hyperlink r:id="rId11">
        <w:r w:rsidDel="00000000" w:rsidR="00000000" w:rsidRPr="00000000">
          <w:rPr>
            <w:rFonts w:ascii="Arial" w:cs="Arial" w:eastAsia="Arial" w:hAnsi="Arial"/>
            <w:color w:val="1155cc"/>
            <w:u w:val="single"/>
            <w:rtl w:val="0"/>
          </w:rPr>
          <w:t xml:space="preserve">https://status.cloud.google.com/incidents/Nm7HSYZu9RqCY2HXRQQf</w:t>
        </w:r>
      </w:hyperlink>
      <w:r w:rsidDel="00000000" w:rsidR="00000000" w:rsidRPr="00000000">
        <w:rPr>
          <w:rtl w:val="0"/>
        </w:rPr>
      </w:r>
    </w:p>
    <w:p w:rsidR="00000000" w:rsidDel="00000000" w:rsidP="00000000" w:rsidRDefault="00000000" w:rsidRPr="00000000" w14:paraId="000000AC">
      <w:pPr>
        <w:numPr>
          <w:ilvl w:val="0"/>
          <w:numId w:val="1"/>
        </w:numPr>
        <w:spacing w:after="200" w:lineRule="auto"/>
        <w:ind w:left="720" w:hanging="360"/>
        <w:rPr>
          <w:rFonts w:ascii="Arial" w:cs="Arial" w:eastAsia="Arial" w:hAnsi="Arial"/>
          <w:u w:val="none"/>
        </w:rPr>
      </w:pPr>
      <w:r w:rsidDel="00000000" w:rsidR="00000000" w:rsidRPr="00000000">
        <w:rPr>
          <w:rFonts w:ascii="Arial" w:cs="Arial" w:eastAsia="Arial" w:hAnsi="Arial"/>
          <w:rtl w:val="0"/>
        </w:rPr>
        <w:t xml:space="preserve">AP News on Google Cloud outage (June 12, 2025):</w:t>
        <w:br w:type="textWrapping"/>
      </w:r>
      <w:hyperlink r:id="rId12">
        <w:r w:rsidDel="00000000" w:rsidR="00000000" w:rsidRPr="00000000">
          <w:rPr>
            <w:rFonts w:ascii="Arial" w:cs="Arial" w:eastAsia="Arial" w:hAnsi="Arial"/>
            <w:color w:val="1155cc"/>
            <w:u w:val="single"/>
            <w:rtl w:val="0"/>
          </w:rPr>
          <w:t xml:space="preserve">https://apnews.com/article/18ad53dca0385a83ca5a4e219bcb3a9d</w:t>
        </w:r>
      </w:hyperlink>
      <w:r w:rsidDel="00000000" w:rsidR="00000000" w:rsidRPr="00000000">
        <w:rPr>
          <w:rtl w:val="0"/>
        </w:rPr>
      </w:r>
    </w:p>
    <w:p w:rsidR="00000000" w:rsidDel="00000000" w:rsidP="00000000" w:rsidRDefault="00000000" w:rsidRPr="00000000" w14:paraId="000000AD">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2"/>
        <w:rPr>
          <w:rFonts w:ascii="Arial" w:cs="Arial" w:eastAsia="Arial" w:hAnsi="Arial"/>
        </w:rPr>
      </w:pPr>
      <w:r w:rsidDel="00000000" w:rsidR="00000000" w:rsidRPr="00000000">
        <w:rPr>
          <w:rFonts w:ascii="Arial" w:cs="Arial" w:eastAsia="Arial" w:hAnsi="Arial"/>
          <w:rtl w:val="0"/>
        </w:rPr>
        <w:t xml:space="preserve">6.4 Probability Analysis: Regional Failure Frequency</w:t>
      </w:r>
    </w:p>
    <w:p w:rsidR="00000000" w:rsidDel="00000000" w:rsidP="00000000" w:rsidRDefault="00000000" w:rsidRPr="00000000" w14:paraId="000000AF">
      <w:pPr>
        <w:spacing w:after="200" w:lineRule="auto"/>
        <w:rPr>
          <w:rFonts w:ascii="Arial" w:cs="Arial" w:eastAsia="Arial" w:hAnsi="Arial"/>
        </w:rPr>
      </w:pPr>
      <w:r w:rsidDel="00000000" w:rsidR="00000000" w:rsidRPr="00000000">
        <w:rPr>
          <w:rFonts w:ascii="Arial" w:cs="Arial" w:eastAsia="Arial" w:hAnsi="Arial"/>
          <w:rtl w:val="0"/>
        </w:rPr>
        <w:t xml:space="preserve">Historical data from cloud providers and third-party monitoring services indicates that significant regional failures (defined as service disruption affecting multiple availability zones or core regional services for &gt;1 hour) occur with frequency of approximately 0.01-0.05% per region annually. For a single region deployment, this translates to expected downtime of approximately 0.9-4.4 hours per year from provider-level failures alone, before accounting for application-specific incidents.</w:t>
      </w:r>
    </w:p>
    <w:p w:rsidR="00000000" w:rsidDel="00000000" w:rsidP="00000000" w:rsidRDefault="00000000" w:rsidRPr="00000000" w14:paraId="000000B0">
      <w:pPr>
        <w:spacing w:after="200" w:lineRule="auto"/>
        <w:rPr>
          <w:rFonts w:ascii="Arial" w:cs="Arial" w:eastAsia="Arial" w:hAnsi="Arial"/>
        </w:rPr>
      </w:pPr>
      <w:r w:rsidDel="00000000" w:rsidR="00000000" w:rsidRPr="00000000">
        <w:rPr>
          <w:rFonts w:ascii="Arial" w:cs="Arial" w:eastAsia="Arial" w:hAnsi="Arial"/>
          <w:rtl w:val="0"/>
        </w:rPr>
        <w:t xml:space="preserve">Multi-region architecture reduces exposure to regional failures by orders of magnitude. Assuming independent failure domains and proper architectural implementation, multi-region deployment across two regions reduces expected annual downtime from regional failures to approximately 0.001-0.002 hours (3.6-7.2 seconds) annually. This dramatic reduction in regional failure exposure enables achievement of 99.99%+ availability targets that are unattainable with single-region architecture.</w:t>
      </w:r>
    </w:p>
    <w:p w:rsidR="00000000" w:rsidDel="00000000" w:rsidP="00000000" w:rsidRDefault="00000000" w:rsidRPr="00000000" w14:paraId="000000B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rFonts w:ascii="Arial" w:cs="Arial" w:eastAsia="Arial" w:hAnsi="Arial"/>
        </w:rPr>
      </w:pPr>
      <w:r w:rsidDel="00000000" w:rsidR="00000000" w:rsidRPr="00000000">
        <w:rPr>
          <w:rFonts w:ascii="Arial" w:cs="Arial" w:eastAsia="Arial" w:hAnsi="Arial"/>
          <w:rtl w:val="0"/>
        </w:rPr>
        <w:t xml:space="preserve">7. Risk Assessment Framework and Decision Criteria</w:t>
      </w:r>
    </w:p>
    <w:p w:rsidR="00000000" w:rsidDel="00000000" w:rsidP="00000000" w:rsidRDefault="00000000" w:rsidRPr="00000000" w14:paraId="000000B3">
      <w:pPr>
        <w:pStyle w:val="Heading2"/>
        <w:rPr>
          <w:rFonts w:ascii="Arial" w:cs="Arial" w:eastAsia="Arial" w:hAnsi="Arial"/>
        </w:rPr>
      </w:pPr>
      <w:r w:rsidDel="00000000" w:rsidR="00000000" w:rsidRPr="00000000">
        <w:rPr>
          <w:rFonts w:ascii="Arial" w:cs="Arial" w:eastAsia="Arial" w:hAnsi="Arial"/>
          <w:rtl w:val="0"/>
        </w:rPr>
        <w:t xml:space="preserve">7.1 Risk Assessment Methodology</w:t>
      </w:r>
    </w:p>
    <w:p w:rsidR="00000000" w:rsidDel="00000000" w:rsidP="00000000" w:rsidRDefault="00000000" w:rsidRPr="00000000" w14:paraId="000000B4">
      <w:pPr>
        <w:spacing w:after="200" w:lineRule="auto"/>
        <w:rPr>
          <w:rFonts w:ascii="Arial" w:cs="Arial" w:eastAsia="Arial" w:hAnsi="Arial"/>
        </w:rPr>
      </w:pPr>
      <w:r w:rsidDel="00000000" w:rsidR="00000000" w:rsidRPr="00000000">
        <w:rPr>
          <w:rFonts w:ascii="Arial" w:cs="Arial" w:eastAsia="Arial" w:hAnsi="Arial"/>
          <w:rtl w:val="0"/>
        </w:rPr>
        <w:t xml:space="preserve">Determining appropriate investment in multi-region or multi-cloud architecture requires structured risk assessment combining quantitative probability analysis with qualitative business impact evaluation. The framework presented here enables systematic evaluation of architectural alternatives based on organization-specific risk tolerance and business context.</w:t>
      </w:r>
    </w:p>
    <w:p w:rsidR="00000000" w:rsidDel="00000000" w:rsidP="00000000" w:rsidRDefault="00000000" w:rsidRPr="00000000" w14:paraId="000000B5">
      <w:pPr>
        <w:pStyle w:val="Heading3"/>
        <w:rPr>
          <w:rFonts w:ascii="Arial" w:cs="Arial" w:eastAsia="Arial" w:hAnsi="Arial"/>
        </w:rPr>
      </w:pPr>
      <w:r w:rsidDel="00000000" w:rsidR="00000000" w:rsidRPr="00000000">
        <w:rPr>
          <w:rFonts w:ascii="Arial" w:cs="Arial" w:eastAsia="Arial" w:hAnsi="Arial"/>
          <w:rtl w:val="0"/>
        </w:rPr>
        <w:t xml:space="preserve">7.1.1 Probability Assessment</w:t>
      </w:r>
    </w:p>
    <w:p w:rsidR="00000000" w:rsidDel="00000000" w:rsidP="00000000" w:rsidRDefault="00000000" w:rsidRPr="00000000" w14:paraId="000000B6">
      <w:pPr>
        <w:spacing w:after="200" w:lineRule="auto"/>
        <w:rPr>
          <w:rFonts w:ascii="Arial" w:cs="Arial" w:eastAsia="Arial" w:hAnsi="Arial"/>
        </w:rPr>
      </w:pPr>
      <w:r w:rsidDel="00000000" w:rsidR="00000000" w:rsidRPr="00000000">
        <w:rPr>
          <w:rFonts w:ascii="Arial" w:cs="Arial" w:eastAsia="Arial" w:hAnsi="Arial"/>
          <w:rtl w:val="0"/>
        </w:rPr>
        <w:t xml:space="preserve">Regional infrastructure failure probability: 0.01-0.05% annually based on historical data from major cloud providers. This probability applies to complete or partial regional outages affecting multiple availability zones simultaneously.</w:t>
      </w:r>
    </w:p>
    <w:p w:rsidR="00000000" w:rsidDel="00000000" w:rsidP="00000000" w:rsidRDefault="00000000" w:rsidRPr="00000000" w14:paraId="000000B7">
      <w:pPr>
        <w:spacing w:after="200" w:lineRule="auto"/>
        <w:rPr>
          <w:rFonts w:ascii="Arial" w:cs="Arial" w:eastAsia="Arial" w:hAnsi="Arial"/>
        </w:rPr>
      </w:pPr>
      <w:r w:rsidDel="00000000" w:rsidR="00000000" w:rsidRPr="00000000">
        <w:rPr>
          <w:rFonts w:ascii="Arial" w:cs="Arial" w:eastAsia="Arial" w:hAnsi="Arial"/>
          <w:rtl w:val="0"/>
        </w:rPr>
        <w:t xml:space="preserve">Provider-level failure probability: Significantly lower than regional failure, estimated at &lt;0.001% annually for catastrophic provider-wide outages. However, provider-specific issues (API changes, billing disruptions, contractual disputes, regulatory actions) occur more frequently and may justify multi-cloud for specific scenarios.</w:t>
      </w:r>
    </w:p>
    <w:p w:rsidR="00000000" w:rsidDel="00000000" w:rsidP="00000000" w:rsidRDefault="00000000" w:rsidRPr="00000000" w14:paraId="000000B8">
      <w:pPr>
        <w:spacing w:after="200" w:lineRule="auto"/>
        <w:rPr>
          <w:rFonts w:ascii="Arial" w:cs="Arial" w:eastAsia="Arial" w:hAnsi="Arial"/>
        </w:rPr>
      </w:pPr>
      <w:r w:rsidDel="00000000" w:rsidR="00000000" w:rsidRPr="00000000">
        <w:rPr>
          <w:rFonts w:ascii="Arial" w:cs="Arial" w:eastAsia="Arial" w:hAnsi="Arial"/>
          <w:rtl w:val="0"/>
        </w:rPr>
        <w:t xml:space="preserve">Application-level failure probability: Varies widely based on application complexity, change frequency, and operational maturity. Most production applications experience unplanned downtime from application-specific issues (bugs, configuration errors, dependency failures) at rates far exceeding infrastructure failure rates. Multi-region architecture provides value for application-level failures only if application architecture supports region-independent operation.</w:t>
      </w:r>
    </w:p>
    <w:p w:rsidR="00000000" w:rsidDel="00000000" w:rsidP="00000000" w:rsidRDefault="00000000" w:rsidRPr="00000000" w14:paraId="000000B9">
      <w:pPr>
        <w:pStyle w:val="Heading3"/>
        <w:rPr>
          <w:rFonts w:ascii="Arial" w:cs="Arial" w:eastAsia="Arial" w:hAnsi="Arial"/>
        </w:rPr>
      </w:pPr>
      <w:r w:rsidDel="00000000" w:rsidR="00000000" w:rsidRPr="00000000">
        <w:rPr>
          <w:rFonts w:ascii="Arial" w:cs="Arial" w:eastAsia="Arial" w:hAnsi="Arial"/>
          <w:rtl w:val="0"/>
        </w:rPr>
        <w:t xml:space="preserve">7.1.2 Business Impact Assessment</w:t>
      </w:r>
    </w:p>
    <w:p w:rsidR="00000000" w:rsidDel="00000000" w:rsidP="00000000" w:rsidRDefault="00000000" w:rsidRPr="00000000" w14:paraId="000000BA">
      <w:pPr>
        <w:spacing w:after="200" w:lineRule="auto"/>
        <w:rPr>
          <w:rFonts w:ascii="Arial" w:cs="Arial" w:eastAsia="Arial" w:hAnsi="Arial"/>
        </w:rPr>
      </w:pPr>
      <w:r w:rsidDel="00000000" w:rsidR="00000000" w:rsidRPr="00000000">
        <w:rPr>
          <w:rFonts w:ascii="Arial" w:cs="Arial" w:eastAsia="Arial" w:hAnsi="Arial"/>
          <w:rtl w:val="0"/>
        </w:rPr>
        <w:t xml:space="preserve">Quantifying the business impact of service interruptions enables rational cost-benefit analysis of resilience investments. Impact assessment should consider multiple dimensions including direct revenue loss, indirect revenue impact from customer churn or reputation damage, regulatory penalties or compliance violations, operational disruption costs from unable to execute business processes, and strategic impact on competitive position or market perception.</w:t>
      </w:r>
    </w:p>
    <w:tbl>
      <w:tblPr>
        <w:tblStyle w:val="Table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2085"/>
        <w:gridCol w:w="2640"/>
        <w:gridCol w:w="1995"/>
        <w:tblGridChange w:id="0">
          <w:tblGrid>
            <w:gridCol w:w="3030"/>
            <w:gridCol w:w="2085"/>
            <w:gridCol w:w="2640"/>
            <w:gridCol w:w="1995"/>
          </w:tblGrid>
        </w:tblGridChange>
      </w:tblGrid>
      <w:tr>
        <w:trPr>
          <w:cantSplit w:val="0"/>
          <w:trHeight w:val="675" w:hRule="atLeast"/>
          <w:tblHeader w:val="0"/>
        </w:trPr>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Application Tier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RTO Target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RPO Target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Architecture Required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rFonts w:ascii="Arial" w:cs="Arial" w:eastAsia="Arial" w:hAnsi="Arial"/>
              </w:rPr>
            </w:pPr>
            <w:r w:rsidDel="00000000" w:rsidR="00000000" w:rsidRPr="00000000">
              <w:rPr>
                <w:rFonts w:ascii="Arial" w:cs="Arial" w:eastAsia="Arial" w:hAnsi="Arial"/>
                <w:sz w:val="22"/>
                <w:szCs w:val="22"/>
                <w:rtl w:val="0"/>
              </w:rPr>
              <w:t xml:space="preserve">Tier 1 - Mission Critical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rFonts w:ascii="Arial" w:cs="Arial" w:eastAsia="Arial" w:hAnsi="Arial"/>
              </w:rPr>
            </w:pPr>
            <w:r w:rsidDel="00000000" w:rsidR="00000000" w:rsidRPr="00000000">
              <w:rPr>
                <w:rFonts w:ascii="Arial" w:cs="Arial" w:eastAsia="Arial" w:hAnsi="Arial"/>
                <w:sz w:val="22"/>
                <w:szCs w:val="22"/>
                <w:rtl w:val="0"/>
              </w:rPr>
              <w:t xml:space="preserve">&lt;5 minutes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rFonts w:ascii="Arial" w:cs="Arial" w:eastAsia="Arial" w:hAnsi="Arial"/>
              </w:rPr>
            </w:pPr>
            <w:r w:rsidDel="00000000" w:rsidR="00000000" w:rsidRPr="00000000">
              <w:rPr>
                <w:rFonts w:ascii="Arial" w:cs="Arial" w:eastAsia="Arial" w:hAnsi="Arial"/>
                <w:sz w:val="22"/>
                <w:szCs w:val="22"/>
                <w:rtl w:val="0"/>
              </w:rPr>
              <w:t xml:space="preserve">0 (zero data loss)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rFonts w:ascii="Arial" w:cs="Arial" w:eastAsia="Arial" w:hAnsi="Arial"/>
              </w:rPr>
            </w:pPr>
            <w:r w:rsidDel="00000000" w:rsidR="00000000" w:rsidRPr="00000000">
              <w:rPr>
                <w:rFonts w:ascii="Arial" w:cs="Arial" w:eastAsia="Arial" w:hAnsi="Arial"/>
                <w:sz w:val="22"/>
                <w:szCs w:val="22"/>
                <w:rtl w:val="0"/>
              </w:rPr>
              <w:t xml:space="preserve">Multi-region active-active with automation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3">
            <w:pPr>
              <w:jc w:val="left"/>
              <w:rPr>
                <w:rFonts w:ascii="Arial" w:cs="Arial" w:eastAsia="Arial" w:hAnsi="Arial"/>
              </w:rPr>
            </w:pPr>
            <w:r w:rsidDel="00000000" w:rsidR="00000000" w:rsidRPr="00000000">
              <w:rPr>
                <w:rFonts w:ascii="Arial" w:cs="Arial" w:eastAsia="Arial" w:hAnsi="Arial"/>
                <w:sz w:val="22"/>
                <w:szCs w:val="22"/>
                <w:rtl w:val="0"/>
              </w:rPr>
              <w:t xml:space="preserve">Tier 2 - Business Critical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4">
            <w:pPr>
              <w:jc w:val="left"/>
              <w:rPr>
                <w:rFonts w:ascii="Arial" w:cs="Arial" w:eastAsia="Arial" w:hAnsi="Arial"/>
              </w:rPr>
            </w:pPr>
            <w:r w:rsidDel="00000000" w:rsidR="00000000" w:rsidRPr="00000000">
              <w:rPr>
                <w:rFonts w:ascii="Arial" w:cs="Arial" w:eastAsia="Arial" w:hAnsi="Arial"/>
                <w:sz w:val="22"/>
                <w:szCs w:val="22"/>
                <w:rtl w:val="0"/>
              </w:rPr>
              <w:t xml:space="preserve">&lt;30 minutes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5">
            <w:pPr>
              <w:jc w:val="left"/>
              <w:rPr>
                <w:rFonts w:ascii="Arial" w:cs="Arial" w:eastAsia="Arial" w:hAnsi="Arial"/>
              </w:rPr>
            </w:pPr>
            <w:r w:rsidDel="00000000" w:rsidR="00000000" w:rsidRPr="00000000">
              <w:rPr>
                <w:rFonts w:ascii="Arial" w:cs="Arial" w:eastAsia="Arial" w:hAnsi="Arial"/>
                <w:sz w:val="22"/>
                <w:szCs w:val="22"/>
                <w:rtl w:val="0"/>
              </w:rPr>
              <w:t xml:space="preserve">&lt;15 minutes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6">
            <w:pPr>
              <w:jc w:val="left"/>
              <w:rPr>
                <w:rFonts w:ascii="Arial" w:cs="Arial" w:eastAsia="Arial" w:hAnsi="Arial"/>
              </w:rPr>
            </w:pPr>
            <w:r w:rsidDel="00000000" w:rsidR="00000000" w:rsidRPr="00000000">
              <w:rPr>
                <w:rFonts w:ascii="Arial" w:cs="Arial" w:eastAsia="Arial" w:hAnsi="Arial"/>
                <w:sz w:val="22"/>
                <w:szCs w:val="22"/>
                <w:rtl w:val="0"/>
              </w:rPr>
              <w:t xml:space="preserve">Multi-region active-passive with automation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rFonts w:ascii="Arial" w:cs="Arial" w:eastAsia="Arial" w:hAnsi="Arial"/>
              </w:rPr>
            </w:pPr>
            <w:r w:rsidDel="00000000" w:rsidR="00000000" w:rsidRPr="00000000">
              <w:rPr>
                <w:rFonts w:ascii="Arial" w:cs="Arial" w:eastAsia="Arial" w:hAnsi="Arial"/>
                <w:sz w:val="22"/>
                <w:szCs w:val="22"/>
                <w:rtl w:val="0"/>
              </w:rPr>
              <w:t xml:space="preserve">Tier 3 - Important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rFonts w:ascii="Arial" w:cs="Arial" w:eastAsia="Arial" w:hAnsi="Arial"/>
              </w:rPr>
            </w:pPr>
            <w:r w:rsidDel="00000000" w:rsidR="00000000" w:rsidRPr="00000000">
              <w:rPr>
                <w:rFonts w:ascii="Arial" w:cs="Arial" w:eastAsia="Arial" w:hAnsi="Arial"/>
                <w:sz w:val="22"/>
                <w:szCs w:val="22"/>
                <w:rtl w:val="0"/>
              </w:rPr>
              <w:t xml:space="preserve">&lt;4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rFonts w:ascii="Arial" w:cs="Arial" w:eastAsia="Arial" w:hAnsi="Arial"/>
              </w:rPr>
            </w:pPr>
            <w:r w:rsidDel="00000000" w:rsidR="00000000" w:rsidRPr="00000000">
              <w:rPr>
                <w:rFonts w:ascii="Arial" w:cs="Arial" w:eastAsia="Arial" w:hAnsi="Arial"/>
                <w:sz w:val="22"/>
                <w:szCs w:val="22"/>
                <w:rtl w:val="0"/>
              </w:rPr>
              <w:t xml:space="preserve">&lt;1 hour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rFonts w:ascii="Arial" w:cs="Arial" w:eastAsia="Arial" w:hAnsi="Arial"/>
              </w:rPr>
            </w:pPr>
            <w:r w:rsidDel="00000000" w:rsidR="00000000" w:rsidRPr="00000000">
              <w:rPr>
                <w:rFonts w:ascii="Arial" w:cs="Arial" w:eastAsia="Arial" w:hAnsi="Arial"/>
                <w:sz w:val="22"/>
                <w:szCs w:val="22"/>
                <w:rtl w:val="0"/>
              </w:rPr>
              <w:t xml:space="preserve">Multi-region with manual failover</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B">
            <w:pPr>
              <w:jc w:val="left"/>
              <w:rPr>
                <w:rFonts w:ascii="Arial" w:cs="Arial" w:eastAsia="Arial" w:hAnsi="Arial"/>
              </w:rPr>
            </w:pPr>
            <w:r w:rsidDel="00000000" w:rsidR="00000000" w:rsidRPr="00000000">
              <w:rPr>
                <w:rFonts w:ascii="Arial" w:cs="Arial" w:eastAsia="Arial" w:hAnsi="Arial"/>
                <w:sz w:val="22"/>
                <w:szCs w:val="22"/>
                <w:rtl w:val="0"/>
              </w:rPr>
              <w:t xml:space="preserve">Tier 4 - Standard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C">
            <w:pPr>
              <w:jc w:val="left"/>
              <w:rPr>
                <w:rFonts w:ascii="Arial" w:cs="Arial" w:eastAsia="Arial" w:hAnsi="Arial"/>
              </w:rPr>
            </w:pPr>
            <w:r w:rsidDel="00000000" w:rsidR="00000000" w:rsidRPr="00000000">
              <w:rPr>
                <w:rFonts w:ascii="Arial" w:cs="Arial" w:eastAsia="Arial" w:hAnsi="Arial"/>
                <w:sz w:val="22"/>
                <w:szCs w:val="22"/>
                <w:rtl w:val="0"/>
              </w:rPr>
              <w:t xml:space="preserve">&lt;24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D">
            <w:pPr>
              <w:jc w:val="left"/>
              <w:rPr>
                <w:rFonts w:ascii="Arial" w:cs="Arial" w:eastAsia="Arial" w:hAnsi="Arial"/>
              </w:rPr>
            </w:pPr>
            <w:r w:rsidDel="00000000" w:rsidR="00000000" w:rsidRPr="00000000">
              <w:rPr>
                <w:rFonts w:ascii="Arial" w:cs="Arial" w:eastAsia="Arial" w:hAnsi="Arial"/>
                <w:sz w:val="22"/>
                <w:szCs w:val="22"/>
                <w:rtl w:val="0"/>
              </w:rPr>
              <w:t xml:space="preserve">&lt;24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0CE">
            <w:pPr>
              <w:jc w:val="left"/>
              <w:rPr>
                <w:rFonts w:ascii="Arial" w:cs="Arial" w:eastAsia="Arial" w:hAnsi="Arial"/>
              </w:rPr>
            </w:pPr>
            <w:r w:rsidDel="00000000" w:rsidR="00000000" w:rsidRPr="00000000">
              <w:rPr>
                <w:rFonts w:ascii="Arial" w:cs="Arial" w:eastAsia="Arial" w:hAnsi="Arial"/>
                <w:sz w:val="22"/>
                <w:szCs w:val="22"/>
                <w:rtl w:val="0"/>
              </w:rPr>
              <w:t xml:space="preserve">Single region with robust backup</w:t>
            </w:r>
            <w:r w:rsidDel="00000000" w:rsidR="00000000" w:rsidRPr="00000000">
              <w:rPr>
                <w:rtl w:val="0"/>
              </w:rPr>
            </w:r>
          </w:p>
        </w:tc>
      </w:tr>
    </w:tbl>
    <w:p w:rsidR="00000000" w:rsidDel="00000000" w:rsidP="00000000" w:rsidRDefault="00000000" w:rsidRPr="00000000" w14:paraId="000000CF">
      <w:pPr>
        <w:pStyle w:val="Heading2"/>
        <w:rPr>
          <w:rFonts w:ascii="Arial" w:cs="Arial" w:eastAsia="Arial" w:hAnsi="Arial"/>
        </w:rPr>
      </w:pPr>
      <w:r w:rsidDel="00000000" w:rsidR="00000000" w:rsidRPr="00000000">
        <w:rPr>
          <w:rFonts w:ascii="Arial" w:cs="Arial" w:eastAsia="Arial" w:hAnsi="Arial"/>
          <w:rtl w:val="0"/>
        </w:rPr>
        <w:t xml:space="preserve">7.2 Decision Framework: Multi-Region vs Multi-Cloud</w:t>
      </w:r>
    </w:p>
    <w:p w:rsidR="00000000" w:rsidDel="00000000" w:rsidP="00000000" w:rsidRDefault="00000000" w:rsidRPr="00000000" w14:paraId="000000D0">
      <w:pPr>
        <w:spacing w:after="200" w:lineRule="auto"/>
        <w:rPr>
          <w:rFonts w:ascii="Arial" w:cs="Arial" w:eastAsia="Arial" w:hAnsi="Arial"/>
        </w:rPr>
      </w:pPr>
      <w:r w:rsidDel="00000000" w:rsidR="00000000" w:rsidRPr="00000000">
        <w:rPr>
          <w:rFonts w:ascii="Arial" w:cs="Arial" w:eastAsia="Arial" w:hAnsi="Arial"/>
          <w:rtl w:val="0"/>
        </w:rPr>
        <w:t xml:space="preserve">The following decision tree provides structured guidance for architectural selection based on application characteristics and business requirements.</w:t>
      </w:r>
    </w:p>
    <w:p w:rsidR="00000000" w:rsidDel="00000000" w:rsidP="00000000" w:rsidRDefault="00000000" w:rsidRPr="00000000" w14:paraId="000000D1">
      <w:pPr>
        <w:spacing w:after="200" w:lineRule="auto"/>
        <w:rPr>
          <w:rFonts w:ascii="Arial" w:cs="Arial" w:eastAsia="Arial" w:hAnsi="Arial"/>
        </w:rPr>
      </w:pPr>
      <w:r w:rsidDel="00000000" w:rsidR="00000000" w:rsidRPr="00000000">
        <w:rPr>
          <w:rFonts w:ascii="Arial" w:cs="Arial" w:eastAsia="Arial" w:hAnsi="Arial"/>
          <w:rtl w:val="0"/>
        </w:rPr>
        <w:t xml:space="preserve">For Tier 1 applications with RTO &lt;5 minutes and zero data loss requirements, multi-region active-active architecture is mandatory. The choice between single-provider multi-region and multi-cloud depends on DORA concentration risk assessment. If provider-level failure would cause material operational impact that cannot be mitigated through contractual arrangements or rapid migration capability, multi-cloud becomes necessary despite cost premium.</w:t>
      </w:r>
    </w:p>
    <w:p w:rsidR="00000000" w:rsidDel="00000000" w:rsidP="00000000" w:rsidRDefault="00000000" w:rsidRPr="00000000" w14:paraId="000000D2">
      <w:pPr>
        <w:spacing w:after="200" w:lineRule="auto"/>
        <w:rPr>
          <w:rFonts w:ascii="Arial" w:cs="Arial" w:eastAsia="Arial" w:hAnsi="Arial"/>
        </w:rPr>
      </w:pPr>
      <w:r w:rsidDel="00000000" w:rsidR="00000000" w:rsidRPr="00000000">
        <w:rPr>
          <w:rFonts w:ascii="Arial" w:cs="Arial" w:eastAsia="Arial" w:hAnsi="Arial"/>
          <w:rtl w:val="0"/>
        </w:rPr>
        <w:t xml:space="preserve">For Tier 2 applications with RTO &lt;30 minutes, multi-region active-passive provides sufficient capability at lower cost than active-active. Multi-cloud provides minimal additional benefit unless specific regulatory mandates require provider independence.</w:t>
      </w:r>
    </w:p>
    <w:p w:rsidR="00000000" w:rsidDel="00000000" w:rsidP="00000000" w:rsidRDefault="00000000" w:rsidRPr="00000000" w14:paraId="000000D3">
      <w:pPr>
        <w:spacing w:after="200" w:lineRule="auto"/>
        <w:rPr>
          <w:rFonts w:ascii="Arial" w:cs="Arial" w:eastAsia="Arial" w:hAnsi="Arial"/>
        </w:rPr>
      </w:pPr>
      <w:r w:rsidDel="00000000" w:rsidR="00000000" w:rsidRPr="00000000">
        <w:rPr>
          <w:rFonts w:ascii="Arial" w:cs="Arial" w:eastAsia="Arial" w:hAnsi="Arial"/>
          <w:rtl w:val="0"/>
        </w:rPr>
        <w:t xml:space="preserve">For Tier 3 and 4 applications, single-region deployment with robust backup and documented recovery procedures typically represents optimal cost-benefit balance. Investment in multi-region capability should be reserved for higher-tier applications with clearer business value propositions.</w:t>
      </w:r>
    </w:p>
    <w:p w:rsidR="00000000" w:rsidDel="00000000" w:rsidP="00000000" w:rsidRDefault="00000000" w:rsidRPr="00000000" w14:paraId="000000D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rFonts w:ascii="Arial" w:cs="Arial" w:eastAsia="Arial" w:hAnsi="Arial"/>
        </w:rPr>
      </w:pPr>
      <w:r w:rsidDel="00000000" w:rsidR="00000000" w:rsidRPr="00000000">
        <w:rPr>
          <w:rFonts w:ascii="Arial" w:cs="Arial" w:eastAsia="Arial" w:hAnsi="Arial"/>
          <w:rtl w:val="0"/>
        </w:rPr>
        <w:t xml:space="preserve">8. State Synchronization: Technical Deep Dive</w:t>
      </w:r>
    </w:p>
    <w:p w:rsidR="00000000" w:rsidDel="00000000" w:rsidP="00000000" w:rsidRDefault="00000000" w:rsidRPr="00000000" w14:paraId="000000D6">
      <w:pPr>
        <w:pStyle w:val="Heading2"/>
        <w:rPr>
          <w:rFonts w:ascii="Arial" w:cs="Arial" w:eastAsia="Arial" w:hAnsi="Arial"/>
        </w:rPr>
      </w:pPr>
      <w:r w:rsidDel="00000000" w:rsidR="00000000" w:rsidRPr="00000000">
        <w:rPr>
          <w:rFonts w:ascii="Arial" w:cs="Arial" w:eastAsia="Arial" w:hAnsi="Arial"/>
          <w:rtl w:val="0"/>
        </w:rPr>
        <w:t xml:space="preserve">8.1 CAP Theorem and Consistency Trade-offs</w:t>
      </w:r>
    </w:p>
    <w:p w:rsidR="00000000" w:rsidDel="00000000" w:rsidP="00000000" w:rsidRDefault="00000000" w:rsidRPr="00000000" w14:paraId="000000D7">
      <w:pPr>
        <w:spacing w:after="200" w:lineRule="auto"/>
        <w:rPr>
          <w:rFonts w:ascii="Arial" w:cs="Arial" w:eastAsia="Arial" w:hAnsi="Arial"/>
        </w:rPr>
      </w:pPr>
      <w:r w:rsidDel="00000000" w:rsidR="00000000" w:rsidRPr="00000000">
        <w:rPr>
          <w:rFonts w:ascii="Arial" w:cs="Arial" w:eastAsia="Arial" w:hAnsi="Arial"/>
          <w:rtl w:val="0"/>
        </w:rPr>
        <w:t xml:space="preserve">The CAP theorem, formulated by Eric Brewer in 2000, establishes fundamental constraints on distributed data systems. The theorem states that distributed systems can provide at most two of three guarantees simultaneously: Consistency (all nodes see the same data at the same time), Availability (system remains operational and responsive even during failures), and Partition Tolerance (system continues operating despite network failures between nodes).</w:t>
      </w:r>
    </w:p>
    <w:p w:rsidR="00000000" w:rsidDel="00000000" w:rsidP="00000000" w:rsidRDefault="00000000" w:rsidRPr="00000000" w14:paraId="000000D8">
      <w:pPr>
        <w:spacing w:after="200" w:lineRule="auto"/>
        <w:rPr>
          <w:rFonts w:ascii="Arial" w:cs="Arial" w:eastAsia="Arial" w:hAnsi="Arial"/>
        </w:rPr>
      </w:pPr>
      <w:r w:rsidDel="00000000" w:rsidR="00000000" w:rsidRPr="00000000">
        <w:rPr>
          <w:rFonts w:ascii="Arial" w:cs="Arial" w:eastAsia="Arial" w:hAnsi="Arial"/>
          <w:rtl w:val="0"/>
        </w:rPr>
        <w:t xml:space="preserve">Multi-region architectures inherently face network partitions—physical distance between regions introduces latency and potential for network failures. Therefore, multi-region systems must choose between consistency and availability when partition occurs. This trade-off directly impacts architectural decisions and business requirements.</w:t>
      </w:r>
    </w:p>
    <w:p w:rsidR="00000000" w:rsidDel="00000000" w:rsidP="00000000" w:rsidRDefault="00000000" w:rsidRPr="00000000" w14:paraId="000000D9">
      <w:pPr>
        <w:spacing w:after="200" w:lineRule="auto"/>
        <w:rPr>
          <w:rFonts w:ascii="Arial" w:cs="Arial" w:eastAsia="Arial" w:hAnsi="Arial"/>
        </w:rPr>
      </w:pPr>
      <w:r w:rsidDel="00000000" w:rsidR="00000000" w:rsidRPr="00000000">
        <w:rPr>
          <w:rFonts w:ascii="Arial" w:cs="Arial" w:eastAsia="Arial" w:hAnsi="Arial"/>
          <w:rtl w:val="0"/>
        </w:rPr>
        <w:t xml:space="preserve">Strong Consistency Model: Systems prioritizing consistency reject write operations when unable to guarantee all replicas are updated, ensuring users always read the most recent data. This approach suits financial transactions, inventory management, and other scenarios where stale data causes business problems. However, strong consistency reduces availability during network partitions and increases write latency from cross-region synchronization requirements.</w:t>
      </w:r>
    </w:p>
    <w:p w:rsidR="00000000" w:rsidDel="00000000" w:rsidP="00000000" w:rsidRDefault="00000000" w:rsidRPr="00000000" w14:paraId="000000DA">
      <w:pPr>
        <w:spacing w:after="200" w:lineRule="auto"/>
        <w:rPr>
          <w:rFonts w:ascii="Arial" w:cs="Arial" w:eastAsia="Arial" w:hAnsi="Arial"/>
        </w:rPr>
      </w:pPr>
      <w:r w:rsidDel="00000000" w:rsidR="00000000" w:rsidRPr="00000000">
        <w:rPr>
          <w:rFonts w:ascii="Arial" w:cs="Arial" w:eastAsia="Arial" w:hAnsi="Arial"/>
          <w:rtl w:val="0"/>
        </w:rPr>
        <w:t xml:space="preserve">Eventual Consistency Model: Systems prioritizing availability accept write operations even during partitions, allowing replicas to diverge temporarily with guarantee of eventual convergence. This approach maximizes system availability and write performance but requires applications to handle potentially stale reads and implement conflict resolution for concurrent updates to the same data.</w:t>
      </w:r>
    </w:p>
    <w:p w:rsidR="00000000" w:rsidDel="00000000" w:rsidP="00000000" w:rsidRDefault="00000000" w:rsidRPr="00000000" w14:paraId="000000DB">
      <w:pPr>
        <w:pStyle w:val="Heading2"/>
        <w:rPr>
          <w:rFonts w:ascii="Arial" w:cs="Arial" w:eastAsia="Arial" w:hAnsi="Arial"/>
        </w:rPr>
      </w:pPr>
      <w:r w:rsidDel="00000000" w:rsidR="00000000" w:rsidRPr="00000000">
        <w:rPr>
          <w:rFonts w:ascii="Arial" w:cs="Arial" w:eastAsia="Arial" w:hAnsi="Arial"/>
          <w:rtl w:val="0"/>
        </w:rPr>
        <w:t xml:space="preserve">8.2 Replication Strategies and Implementation</w:t>
      </w:r>
    </w:p>
    <w:p w:rsidR="00000000" w:rsidDel="00000000" w:rsidP="00000000" w:rsidRDefault="00000000" w:rsidRPr="00000000" w14:paraId="000000DC">
      <w:pPr>
        <w:spacing w:after="200" w:lineRule="auto"/>
        <w:rPr>
          <w:rFonts w:ascii="Arial" w:cs="Arial" w:eastAsia="Arial" w:hAnsi="Arial"/>
        </w:rPr>
      </w:pPr>
      <w:r w:rsidDel="00000000" w:rsidR="00000000" w:rsidRPr="00000000">
        <w:rPr>
          <w:rFonts w:ascii="Arial" w:cs="Arial" w:eastAsia="Arial" w:hAnsi="Arial"/>
          <w:rtl w:val="0"/>
        </w:rPr>
        <w:t xml:space="preserve">Synchronous Replication: Write operations block until acknowledgment received from all replicas, guaranteeing zero data loss (RPO=0) and strong consistency. Synchronous replication increases write latency proportional to network round-trip time between regions (typically 5-30ms for regional pairs within continental regions). Applications requiring zero data loss and strong consistency must accept this latency increase and implement appropriate timeout handling.</w:t>
      </w:r>
    </w:p>
    <w:p w:rsidR="00000000" w:rsidDel="00000000" w:rsidP="00000000" w:rsidRDefault="00000000" w:rsidRPr="00000000" w14:paraId="000000DD">
      <w:pPr>
        <w:spacing w:after="200" w:lineRule="auto"/>
        <w:rPr>
          <w:rFonts w:ascii="Arial" w:cs="Arial" w:eastAsia="Arial" w:hAnsi="Arial"/>
        </w:rPr>
      </w:pPr>
      <w:r w:rsidDel="00000000" w:rsidR="00000000" w:rsidRPr="00000000">
        <w:rPr>
          <w:rFonts w:ascii="Arial" w:cs="Arial" w:eastAsia="Arial" w:hAnsi="Arial"/>
          <w:rtl w:val="0"/>
        </w:rPr>
        <w:t xml:space="preserve">Asynchronous Replication: Write operations complete after acknowledgment from primary replica, with changes propagated to secondary replicas afterward. Asynchronous replication minimizes write latency but creates potential for data loss equal to replication lag duration. Typical replication lag ranges from &lt;1 second for managed services like Aurora Global Database to 5-60 seconds for custom replication implementations.</w:t>
      </w:r>
    </w:p>
    <w:p w:rsidR="00000000" w:rsidDel="00000000" w:rsidP="00000000" w:rsidRDefault="00000000" w:rsidRPr="00000000" w14:paraId="000000DE">
      <w:pPr>
        <w:pStyle w:val="Heading2"/>
        <w:rPr>
          <w:rFonts w:ascii="Arial" w:cs="Arial" w:eastAsia="Arial" w:hAnsi="Arial"/>
        </w:rPr>
      </w:pPr>
      <w:r w:rsidDel="00000000" w:rsidR="00000000" w:rsidRPr="00000000">
        <w:rPr>
          <w:rFonts w:ascii="Arial" w:cs="Arial" w:eastAsia="Arial" w:hAnsi="Arial"/>
          <w:rtl w:val="0"/>
        </w:rPr>
        <w:t xml:space="preserve">8.3 Conflict Resolution Mechanisms</w:t>
      </w:r>
    </w:p>
    <w:p w:rsidR="00000000" w:rsidDel="00000000" w:rsidP="00000000" w:rsidRDefault="00000000" w:rsidRPr="00000000" w14:paraId="000000DF">
      <w:pPr>
        <w:spacing w:after="200" w:lineRule="auto"/>
        <w:rPr>
          <w:rFonts w:ascii="Arial" w:cs="Arial" w:eastAsia="Arial" w:hAnsi="Arial"/>
        </w:rPr>
      </w:pPr>
      <w:r w:rsidDel="00000000" w:rsidR="00000000" w:rsidRPr="00000000">
        <w:rPr>
          <w:rFonts w:ascii="Arial" w:cs="Arial" w:eastAsia="Arial" w:hAnsi="Arial"/>
          <w:rtl w:val="0"/>
        </w:rPr>
        <w:t xml:space="preserve">Multi-master configurations supporting concurrent writes in multiple regions require conflict resolution when the same data item is modified simultaneously in different regions. Resolution strategies include Last-Write-Wins (simplest strategy using timestamps to determine winning write), Application-Defined Resolution (custom logic based on business rules), and Conflict-Free Replicated Data Types (CRDTs providing mathematically proven conflict-free convergence for specific data structures).</w:t>
      </w:r>
    </w:p>
    <w:p w:rsidR="00000000" w:rsidDel="00000000" w:rsidP="00000000" w:rsidRDefault="00000000" w:rsidRPr="00000000" w14:paraId="000000E0">
      <w:pPr>
        <w:pStyle w:val="Heading1"/>
        <w:rPr>
          <w:rFonts w:ascii="Arial" w:cs="Arial" w:eastAsia="Arial" w:hAnsi="Arial"/>
        </w:rPr>
      </w:pPr>
      <w:r w:rsidDel="00000000" w:rsidR="00000000" w:rsidRPr="00000000">
        <w:rPr>
          <w:rFonts w:ascii="Arial" w:cs="Arial" w:eastAsia="Arial" w:hAnsi="Arial"/>
          <w:rtl w:val="0"/>
        </w:rPr>
        <w:t xml:space="preserve">9. Operational Procedures and Runbooks</w:t>
      </w:r>
    </w:p>
    <w:p w:rsidR="00000000" w:rsidDel="00000000" w:rsidP="00000000" w:rsidRDefault="00000000" w:rsidRPr="00000000" w14:paraId="000000E1">
      <w:pPr>
        <w:pStyle w:val="Heading2"/>
        <w:rPr>
          <w:rFonts w:ascii="Arial" w:cs="Arial" w:eastAsia="Arial" w:hAnsi="Arial"/>
        </w:rPr>
      </w:pPr>
      <w:r w:rsidDel="00000000" w:rsidR="00000000" w:rsidRPr="00000000">
        <w:rPr>
          <w:rFonts w:ascii="Arial" w:cs="Arial" w:eastAsia="Arial" w:hAnsi="Arial"/>
          <w:rtl w:val="0"/>
        </w:rPr>
        <w:t xml:space="preserve">9.1 Automated Failover Sequence</w:t>
      </w:r>
    </w:p>
    <w:p w:rsidR="00000000" w:rsidDel="00000000" w:rsidP="00000000" w:rsidRDefault="00000000" w:rsidRPr="00000000" w14:paraId="000000E2">
      <w:pPr>
        <w:spacing w:after="200" w:lineRule="auto"/>
        <w:rPr>
          <w:rFonts w:ascii="Arial" w:cs="Arial" w:eastAsia="Arial" w:hAnsi="Arial"/>
        </w:rPr>
      </w:pPr>
      <w:r w:rsidDel="00000000" w:rsidR="00000000" w:rsidRPr="00000000">
        <w:rPr>
          <w:rFonts w:ascii="Arial" w:cs="Arial" w:eastAsia="Arial" w:hAnsi="Arial"/>
          <w:rtl w:val="0"/>
        </w:rPr>
        <w:t xml:space="preserve">Properly designed automated failover follows a systematic sequence minimizing RTO while ensuring data integrity and operational safety. The following procedure represents industry best practice for active-passive multi-region deployments.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Health Check Failure Detection (30-60 seconds): External monitoring system detects three consecutive health check failures from multiple global locations confirming primary region unavailability. Single health check failures are ignored to prevent false positives.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Secondary Region Health Validation (15 seconds): Automated system validates secondary region reports healthy status and has current application deployment. Database replication lag is checked to confirm RPO requirements can be met.</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Notification and Logging (immediate): Automated system sends alerts </w:t>
      </w:r>
      <w:r w:rsidDel="00000000" w:rsidR="00000000" w:rsidRPr="00000000">
        <w:rPr>
          <w:rFonts w:ascii="Arial" w:cs="Arial" w:eastAsia="Arial" w:hAnsi="Arial"/>
          <w:rtl w:val="0"/>
        </w:rPr>
        <w:t xml:space="preserve">to the operations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team via PagerDuty, Slack, or email. Incident tracking system automatically creates incident </w:t>
      </w:r>
      <w:r w:rsidDel="00000000" w:rsidR="00000000" w:rsidRPr="00000000">
        <w:rPr>
          <w:rFonts w:ascii="Arial" w:cs="Arial" w:eastAsia="Arial" w:hAnsi="Arial"/>
          <w:rtl w:val="0"/>
        </w:rPr>
        <w:t xml:space="preserve">records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with relevant diagnostic data.</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DNS Update Initiation (automatic): Route 53 failover policy automatically removes primary region from DNS responses and returns secondary region endpoint. For applications using Global Accelerator or similar services, traffic redirection occurs immediately without DNS dependency.</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Database Promotion (1-2 minutes if required): If using active-passive database configuration, automated promotion of secondary database replica to primary status. This step executes in parallel with DNS propagation for active-active database configurations.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Traffic Validation (1-2 minutes): Automated system monitors secondary </w:t>
      </w:r>
      <w:r w:rsidDel="00000000" w:rsidR="00000000" w:rsidRPr="00000000">
        <w:rPr>
          <w:rFonts w:ascii="Arial" w:cs="Arial" w:eastAsia="Arial" w:hAnsi="Arial"/>
          <w:rtl w:val="0"/>
        </w:rPr>
        <w:t xml:space="preserve">regions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for successful traffic handling, validating response times within acceptable ranges and error rates below thresholds.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Continuous Monitoring: Operations team receives ongoing status updates.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Automated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system continues monitoring both regions to detect primary region recovery.</w:t>
      </w:r>
    </w:p>
    <w:p w:rsidR="00000000" w:rsidDel="00000000" w:rsidP="00000000" w:rsidRDefault="00000000" w:rsidRPr="00000000" w14:paraId="000000EA">
      <w:pPr>
        <w:spacing w:after="200" w:lineRule="auto"/>
        <w:rPr>
          <w:rFonts w:ascii="Arial" w:cs="Arial" w:eastAsia="Arial" w:hAnsi="Arial"/>
        </w:rPr>
      </w:pPr>
      <w:r w:rsidDel="00000000" w:rsidR="00000000" w:rsidRPr="00000000">
        <w:rPr>
          <w:rFonts w:ascii="Arial" w:cs="Arial" w:eastAsia="Arial" w:hAnsi="Arial"/>
          <w:rtl w:val="0"/>
        </w:rPr>
        <w:t xml:space="preserve">Total RTO for this automated procedure typically ranges from 2-4 minutes depending on DNS caching behavior and database promotion requirements.</w:t>
      </w:r>
    </w:p>
    <w:p w:rsidR="00000000" w:rsidDel="00000000" w:rsidP="00000000" w:rsidRDefault="00000000" w:rsidRPr="00000000" w14:paraId="000000EB">
      <w:pPr>
        <w:pStyle w:val="Heading2"/>
        <w:rPr>
          <w:rFonts w:ascii="Arial" w:cs="Arial" w:eastAsia="Arial" w:hAnsi="Arial"/>
        </w:rPr>
      </w:pPr>
      <w:r w:rsidDel="00000000" w:rsidR="00000000" w:rsidRPr="00000000">
        <w:rPr>
          <w:rFonts w:ascii="Arial" w:cs="Arial" w:eastAsia="Arial" w:hAnsi="Arial"/>
          <w:rtl w:val="0"/>
        </w:rPr>
        <w:t xml:space="preserve">9.2 Disaster Recovery Testing Protocol</w:t>
      </w:r>
    </w:p>
    <w:p w:rsidR="00000000" w:rsidDel="00000000" w:rsidP="00000000" w:rsidRDefault="00000000" w:rsidRPr="00000000" w14:paraId="000000EC">
      <w:pPr>
        <w:spacing w:after="200" w:lineRule="auto"/>
        <w:rPr>
          <w:rFonts w:ascii="Arial" w:cs="Arial" w:eastAsia="Arial" w:hAnsi="Arial"/>
        </w:rPr>
      </w:pPr>
      <w:r w:rsidDel="00000000" w:rsidR="00000000" w:rsidRPr="00000000">
        <w:rPr>
          <w:rFonts w:ascii="Arial" w:cs="Arial" w:eastAsia="Arial" w:hAnsi="Arial"/>
          <w:rtl w:val="0"/>
        </w:rPr>
        <w:t xml:space="preserve">Regular testing validates failover procedures and identifies configuration drift or procedural gaps before actual failures occur. Recommended testing cadence: quarterly full failover tests for Tier 1 applications, semi-annual tests for Tier 2 applications.</w:t>
      </w:r>
    </w:p>
    <w:p w:rsidR="00000000" w:rsidDel="00000000" w:rsidP="00000000" w:rsidRDefault="00000000" w:rsidRPr="00000000" w14:paraId="000000ED">
      <w:pPr>
        <w:spacing w:after="200" w:lineRule="auto"/>
        <w:rPr>
          <w:rFonts w:ascii="Arial" w:cs="Arial" w:eastAsia="Arial" w:hAnsi="Arial"/>
        </w:rPr>
      </w:pPr>
      <w:r w:rsidDel="00000000" w:rsidR="00000000" w:rsidRPr="00000000">
        <w:rPr>
          <w:rFonts w:ascii="Arial" w:cs="Arial" w:eastAsia="Arial" w:hAnsi="Arial"/>
          <w:rtl w:val="0"/>
        </w:rPr>
        <w:t xml:space="preserve">Testing procedure includes scheduling tests during approved maintenance window, notifying operations team and stakeholders, executing failover to secondary region using automated procedures, validating application functionality in secondary region, measuring actual RTO and RPO achieved, documenting issues encountered and remediation required, and executing failback to primary region.</w:t>
      </w:r>
    </w:p>
    <w:p w:rsidR="00000000" w:rsidDel="00000000" w:rsidP="00000000" w:rsidRDefault="00000000" w:rsidRPr="00000000" w14:paraId="000000EE">
      <w:pPr>
        <w:pStyle w:val="Heading2"/>
        <w:rPr>
          <w:rFonts w:ascii="Arial" w:cs="Arial" w:eastAsia="Arial" w:hAnsi="Arial"/>
        </w:rPr>
      </w:pPr>
      <w:r w:rsidDel="00000000" w:rsidR="00000000" w:rsidRPr="00000000">
        <w:rPr>
          <w:rFonts w:ascii="Arial" w:cs="Arial" w:eastAsia="Arial" w:hAnsi="Arial"/>
          <w:rtl w:val="0"/>
        </w:rPr>
        <w:t xml:space="preserve">9.3 Chaos Engineering Practices</w:t>
      </w:r>
    </w:p>
    <w:p w:rsidR="00000000" w:rsidDel="00000000" w:rsidP="00000000" w:rsidRDefault="00000000" w:rsidRPr="00000000" w14:paraId="000000EF">
      <w:pPr>
        <w:spacing w:after="200" w:lineRule="auto"/>
        <w:rPr>
          <w:rFonts w:ascii="Arial" w:cs="Arial" w:eastAsia="Arial" w:hAnsi="Arial"/>
        </w:rPr>
      </w:pPr>
      <w:r w:rsidDel="00000000" w:rsidR="00000000" w:rsidRPr="00000000">
        <w:rPr>
          <w:rFonts w:ascii="Arial" w:cs="Arial" w:eastAsia="Arial" w:hAnsi="Arial"/>
          <w:rtl w:val="0"/>
        </w:rPr>
        <w:t xml:space="preserve">Chaos engineering proactively introduces controlled failures to validate resilience assumptions and uncover weaknesses before they cause actual outages. Organizations should establish regular chaos engineering practices including GameDay exercises simulating regional failures, incremental experiments testing specific failure modes, and automated chaos testing in pre-production environments.</w:t>
      </w:r>
    </w:p>
    <w:p w:rsidR="00000000" w:rsidDel="00000000" w:rsidP="00000000" w:rsidRDefault="00000000" w:rsidRPr="00000000" w14:paraId="000000F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rFonts w:ascii="Arial" w:cs="Arial" w:eastAsia="Arial" w:hAnsi="Arial"/>
        </w:rPr>
      </w:pPr>
      <w:r w:rsidDel="00000000" w:rsidR="00000000" w:rsidRPr="00000000">
        <w:rPr>
          <w:rFonts w:ascii="Arial" w:cs="Arial" w:eastAsia="Arial" w:hAnsi="Arial"/>
          <w:rtl w:val="0"/>
        </w:rPr>
        <w:t xml:space="preserve">10. Implementation Roadmap for Jose</w:t>
      </w:r>
    </w:p>
    <w:p w:rsidR="00000000" w:rsidDel="00000000" w:rsidP="00000000" w:rsidRDefault="00000000" w:rsidRPr="00000000" w14:paraId="000000F2">
      <w:pPr>
        <w:pStyle w:val="Heading2"/>
        <w:rPr>
          <w:rFonts w:ascii="Arial" w:cs="Arial" w:eastAsia="Arial" w:hAnsi="Arial"/>
        </w:rPr>
      </w:pPr>
      <w:r w:rsidDel="00000000" w:rsidR="00000000" w:rsidRPr="00000000">
        <w:rPr>
          <w:rFonts w:ascii="Arial" w:cs="Arial" w:eastAsia="Arial" w:hAnsi="Arial"/>
          <w:rtl w:val="0"/>
        </w:rPr>
        <w:t xml:space="preserve">10.1 Phased Implementation Approach</w:t>
      </w:r>
    </w:p>
    <w:p w:rsidR="00000000" w:rsidDel="00000000" w:rsidP="00000000" w:rsidRDefault="00000000" w:rsidRPr="00000000" w14:paraId="000000F3">
      <w:pPr>
        <w:spacing w:after="200" w:lineRule="auto"/>
        <w:rPr>
          <w:rFonts w:ascii="Arial" w:cs="Arial" w:eastAsia="Arial" w:hAnsi="Arial"/>
        </w:rPr>
      </w:pPr>
      <w:r w:rsidDel="00000000" w:rsidR="00000000" w:rsidRPr="00000000">
        <w:rPr>
          <w:rFonts w:ascii="Arial" w:cs="Arial" w:eastAsia="Arial" w:hAnsi="Arial"/>
          <w:rtl w:val="0"/>
        </w:rPr>
        <w:t xml:space="preserve">Implementing multi-region capability requires a systematic approach balancing business value delivery, operational learning, and risk management. The following four-phase roadmap provides recommended timeline and deliverables.</w:t>
      </w:r>
    </w:p>
    <w:p w:rsidR="00000000" w:rsidDel="00000000" w:rsidP="00000000" w:rsidRDefault="00000000" w:rsidRPr="00000000" w14:paraId="000000F4">
      <w:pPr>
        <w:pStyle w:val="Heading3"/>
        <w:rPr>
          <w:rFonts w:ascii="Arial" w:cs="Arial" w:eastAsia="Arial" w:hAnsi="Arial"/>
        </w:rPr>
      </w:pPr>
      <w:r w:rsidDel="00000000" w:rsidR="00000000" w:rsidRPr="00000000">
        <w:rPr>
          <w:rFonts w:ascii="Arial" w:cs="Arial" w:eastAsia="Arial" w:hAnsi="Arial"/>
          <w:rtl w:val="0"/>
        </w:rPr>
        <w:t xml:space="preserve">Phase 1: External Observation (Months 1-3)</w:t>
      </w:r>
    </w:p>
    <w:p w:rsidR="00000000" w:rsidDel="00000000" w:rsidP="00000000" w:rsidRDefault="00000000" w:rsidRPr="00000000" w14:paraId="000000F5">
      <w:pPr>
        <w:spacing w:after="200" w:lineRule="auto"/>
        <w:rPr>
          <w:rFonts w:ascii="Arial" w:cs="Arial" w:eastAsia="Arial" w:hAnsi="Arial"/>
        </w:rPr>
      </w:pPr>
      <w:r w:rsidDel="00000000" w:rsidR="00000000" w:rsidRPr="00000000">
        <w:rPr>
          <w:rFonts w:ascii="Arial" w:cs="Arial" w:eastAsia="Arial" w:hAnsi="Arial"/>
          <w:rtl w:val="0"/>
        </w:rPr>
        <w:t xml:space="preserve">Objective: Establish a health monitoring foundation independent from application infrastructure.</w:t>
      </w:r>
    </w:p>
    <w:p w:rsidR="00000000" w:rsidDel="00000000" w:rsidP="00000000" w:rsidRDefault="00000000" w:rsidRPr="00000000" w14:paraId="000000F6">
      <w:pPr>
        <w:spacing w:after="200" w:lineRule="auto"/>
        <w:rPr>
          <w:rFonts w:ascii="Arial" w:cs="Arial" w:eastAsia="Arial" w:hAnsi="Arial"/>
        </w:rPr>
      </w:pPr>
      <w:r w:rsidDel="00000000" w:rsidR="00000000" w:rsidRPr="00000000">
        <w:rPr>
          <w:rFonts w:ascii="Arial" w:cs="Arial" w:eastAsia="Arial" w:hAnsi="Arial"/>
          <w:rtl w:val="0"/>
        </w:rPr>
        <w:t xml:space="preserve">Deliverables: Deploy Route 53 health checks for Tier 1 and Tier 2 applications across all existing regional deployments. Implement synthetic monitoring executing critical user workflows from multiple global locations. Establish centralized health dashboard providing real-time visibility into application availability across all regions. Configure alerting rules and PagerDuty integration for health check failures. Document baseline health metrics and establish availability SLA targets.</w:t>
      </w:r>
    </w:p>
    <w:p w:rsidR="00000000" w:rsidDel="00000000" w:rsidP="00000000" w:rsidRDefault="00000000" w:rsidRPr="00000000" w14:paraId="000000F7">
      <w:pPr>
        <w:spacing w:after="200" w:lineRule="auto"/>
        <w:rPr>
          <w:rFonts w:ascii="Arial" w:cs="Arial" w:eastAsia="Arial" w:hAnsi="Arial"/>
        </w:rPr>
      </w:pPr>
      <w:r w:rsidDel="00000000" w:rsidR="00000000" w:rsidRPr="00000000">
        <w:rPr>
          <w:rFonts w:ascii="Arial" w:cs="Arial" w:eastAsia="Arial" w:hAnsi="Arial"/>
          <w:rtl w:val="0"/>
        </w:rPr>
        <w:t xml:space="preserve">Success Criteria: All Tier 1 applications have health checks configured and operational. Mean Time To Detect for regional failures reduces to &lt;60 seconds. Operations team receives alerts for all health check failures.</w:t>
      </w:r>
    </w:p>
    <w:p w:rsidR="00000000" w:rsidDel="00000000" w:rsidP="00000000" w:rsidRDefault="00000000" w:rsidRPr="00000000" w14:paraId="000000F8">
      <w:pPr>
        <w:pStyle w:val="Heading3"/>
        <w:rPr>
          <w:rFonts w:ascii="Arial" w:cs="Arial" w:eastAsia="Arial" w:hAnsi="Arial"/>
        </w:rPr>
      </w:pPr>
      <w:r w:rsidDel="00000000" w:rsidR="00000000" w:rsidRPr="00000000">
        <w:rPr>
          <w:rFonts w:ascii="Arial" w:cs="Arial" w:eastAsia="Arial" w:hAnsi="Arial"/>
          <w:rtl w:val="0"/>
        </w:rPr>
        <w:t xml:space="preserve">Phase 2: Traffic Coordination (Months 4-6)</w:t>
      </w:r>
    </w:p>
    <w:p w:rsidR="00000000" w:rsidDel="00000000" w:rsidP="00000000" w:rsidRDefault="00000000" w:rsidRPr="00000000" w14:paraId="000000F9">
      <w:pPr>
        <w:spacing w:after="200" w:lineRule="auto"/>
        <w:rPr>
          <w:rFonts w:ascii="Arial" w:cs="Arial" w:eastAsia="Arial" w:hAnsi="Arial"/>
        </w:rPr>
      </w:pPr>
      <w:r w:rsidDel="00000000" w:rsidR="00000000" w:rsidRPr="00000000">
        <w:rPr>
          <w:rFonts w:ascii="Arial" w:cs="Arial" w:eastAsia="Arial" w:hAnsi="Arial"/>
          <w:rtl w:val="0"/>
        </w:rPr>
        <w:t xml:space="preserve">Objective: Implement automated traffic routing capability enabling rapid failover.</w:t>
      </w:r>
    </w:p>
    <w:p w:rsidR="00000000" w:rsidDel="00000000" w:rsidP="00000000" w:rsidRDefault="00000000" w:rsidRPr="00000000" w14:paraId="000000FA">
      <w:pPr>
        <w:spacing w:after="200" w:lineRule="auto"/>
        <w:rPr>
          <w:rFonts w:ascii="Arial" w:cs="Arial" w:eastAsia="Arial" w:hAnsi="Arial"/>
        </w:rPr>
      </w:pPr>
      <w:r w:rsidDel="00000000" w:rsidR="00000000" w:rsidRPr="00000000">
        <w:rPr>
          <w:rFonts w:ascii="Arial" w:cs="Arial" w:eastAsia="Arial" w:hAnsi="Arial"/>
          <w:rtl w:val="0"/>
        </w:rPr>
        <w:t xml:space="preserve">Deliverables: Configure Route 53 failover routing policies for Tier 1 applications. Implement Azure Traffic Manager for applications hosted on Azure. Test manual failover procedures for all multi-region applications. Document routing policies and validate configuration. Establish runbooks for traffic failover and failback procedures.</w:t>
      </w:r>
    </w:p>
    <w:p w:rsidR="00000000" w:rsidDel="00000000" w:rsidP="00000000" w:rsidRDefault="00000000" w:rsidRPr="00000000" w14:paraId="000000FB">
      <w:pPr>
        <w:spacing w:after="200" w:lineRule="auto"/>
        <w:rPr>
          <w:rFonts w:ascii="Arial" w:cs="Arial" w:eastAsia="Arial" w:hAnsi="Arial"/>
        </w:rPr>
      </w:pPr>
      <w:r w:rsidDel="00000000" w:rsidR="00000000" w:rsidRPr="00000000">
        <w:rPr>
          <w:rFonts w:ascii="Arial" w:cs="Arial" w:eastAsia="Arial" w:hAnsi="Arial"/>
          <w:rtl w:val="0"/>
        </w:rPr>
        <w:t xml:space="preserve">Success Criteria: Successful completion of manual failover testing for all Tier 1 applications. Documented RTO measurement for each application. Runbooks validated through tabletop exercises.</w:t>
      </w:r>
    </w:p>
    <w:p w:rsidR="00000000" w:rsidDel="00000000" w:rsidP="00000000" w:rsidRDefault="00000000" w:rsidRPr="00000000" w14:paraId="000000FC">
      <w:pPr>
        <w:pStyle w:val="Heading3"/>
        <w:rPr>
          <w:rFonts w:ascii="Arial" w:cs="Arial" w:eastAsia="Arial" w:hAnsi="Arial"/>
        </w:rPr>
      </w:pPr>
      <w:r w:rsidDel="00000000" w:rsidR="00000000" w:rsidRPr="00000000">
        <w:rPr>
          <w:rFonts w:ascii="Arial" w:cs="Arial" w:eastAsia="Arial" w:hAnsi="Arial"/>
          <w:rtl w:val="0"/>
        </w:rPr>
        <w:t xml:space="preserve">Phase 3: State Synchronization (Months 7-12)</w:t>
      </w:r>
    </w:p>
    <w:p w:rsidR="00000000" w:rsidDel="00000000" w:rsidP="00000000" w:rsidRDefault="00000000" w:rsidRPr="00000000" w14:paraId="000000FD">
      <w:pPr>
        <w:spacing w:after="200" w:lineRule="auto"/>
        <w:rPr>
          <w:rFonts w:ascii="Arial" w:cs="Arial" w:eastAsia="Arial" w:hAnsi="Arial"/>
        </w:rPr>
      </w:pPr>
      <w:r w:rsidDel="00000000" w:rsidR="00000000" w:rsidRPr="00000000">
        <w:rPr>
          <w:rFonts w:ascii="Arial" w:cs="Arial" w:eastAsia="Arial" w:hAnsi="Arial"/>
          <w:rtl w:val="0"/>
        </w:rPr>
        <w:t xml:space="preserve">Objective: Enable data consistency across regions supporting zero data loss failover.</w:t>
      </w:r>
    </w:p>
    <w:p w:rsidR="00000000" w:rsidDel="00000000" w:rsidP="00000000" w:rsidRDefault="00000000" w:rsidRPr="00000000" w14:paraId="000000FE">
      <w:pPr>
        <w:spacing w:after="200" w:lineRule="auto"/>
        <w:rPr>
          <w:rFonts w:ascii="Arial" w:cs="Arial" w:eastAsia="Arial" w:hAnsi="Arial"/>
        </w:rPr>
      </w:pPr>
      <w:r w:rsidDel="00000000" w:rsidR="00000000" w:rsidRPr="00000000">
        <w:rPr>
          <w:rFonts w:ascii="Arial" w:cs="Arial" w:eastAsia="Arial" w:hAnsi="Arial"/>
          <w:rtl w:val="0"/>
        </w:rPr>
        <w:t xml:space="preserve">Deliverables: Implement Aurora Global Database for critical databases requiring RPO&lt;15 minutes. Deploy Redis Global Datastore for session management. Configure S3 Cross-Region Replication for file storage. Establish database backup and recovery procedures. Test data consistency during failover scenarios validating RPO achievement.</w:t>
      </w:r>
    </w:p>
    <w:p w:rsidR="00000000" w:rsidDel="00000000" w:rsidP="00000000" w:rsidRDefault="00000000" w:rsidRPr="00000000" w14:paraId="000000FF">
      <w:pPr>
        <w:spacing w:after="200" w:lineRule="auto"/>
        <w:rPr>
          <w:rFonts w:ascii="Arial" w:cs="Arial" w:eastAsia="Arial" w:hAnsi="Arial"/>
        </w:rPr>
      </w:pPr>
      <w:r w:rsidDel="00000000" w:rsidR="00000000" w:rsidRPr="00000000">
        <w:rPr>
          <w:rFonts w:ascii="Arial" w:cs="Arial" w:eastAsia="Arial" w:hAnsi="Arial"/>
          <w:rtl w:val="0"/>
        </w:rPr>
        <w:t xml:space="preserve">Success Criteria: All Tier 1 databases implement cross-region replication. RPO measurements meet defined targets. Successful failover testing demonstrates zero data loss.</w:t>
      </w:r>
    </w:p>
    <w:p w:rsidR="00000000" w:rsidDel="00000000" w:rsidP="00000000" w:rsidRDefault="00000000" w:rsidRPr="00000000" w14:paraId="00000100">
      <w:pPr>
        <w:pStyle w:val="Heading3"/>
        <w:rPr>
          <w:rFonts w:ascii="Arial" w:cs="Arial" w:eastAsia="Arial" w:hAnsi="Arial"/>
        </w:rPr>
      </w:pPr>
      <w:r w:rsidDel="00000000" w:rsidR="00000000" w:rsidRPr="00000000">
        <w:rPr>
          <w:rFonts w:ascii="Arial" w:cs="Arial" w:eastAsia="Arial" w:hAnsi="Arial"/>
          <w:rtl w:val="0"/>
        </w:rPr>
        <w:t xml:space="preserve">Phase 4: Automation and Validation (Months 13-18)</w:t>
      </w:r>
    </w:p>
    <w:p w:rsidR="00000000" w:rsidDel="00000000" w:rsidP="00000000" w:rsidRDefault="00000000" w:rsidRPr="00000000" w14:paraId="00000101">
      <w:pPr>
        <w:spacing w:after="200" w:lineRule="auto"/>
        <w:rPr>
          <w:rFonts w:ascii="Arial" w:cs="Arial" w:eastAsia="Arial" w:hAnsi="Arial"/>
        </w:rPr>
      </w:pPr>
      <w:r w:rsidDel="00000000" w:rsidR="00000000" w:rsidRPr="00000000">
        <w:rPr>
          <w:rFonts w:ascii="Arial" w:cs="Arial" w:eastAsia="Arial" w:hAnsi="Arial"/>
          <w:rtl w:val="0"/>
        </w:rPr>
        <w:t xml:space="preserve">Objective: Automate failover procedures and establish continuous validation practices.</w:t>
      </w:r>
    </w:p>
    <w:p w:rsidR="00000000" w:rsidDel="00000000" w:rsidP="00000000" w:rsidRDefault="00000000" w:rsidRPr="00000000" w14:paraId="00000102">
      <w:pPr>
        <w:spacing w:after="200" w:lineRule="auto"/>
        <w:rPr>
          <w:rFonts w:ascii="Arial" w:cs="Arial" w:eastAsia="Arial" w:hAnsi="Arial"/>
        </w:rPr>
      </w:pPr>
      <w:r w:rsidDel="00000000" w:rsidR="00000000" w:rsidRPr="00000000">
        <w:rPr>
          <w:rFonts w:ascii="Arial" w:cs="Arial" w:eastAsia="Arial" w:hAnsi="Arial"/>
          <w:rtl w:val="0"/>
        </w:rPr>
        <w:t xml:space="preserve">Deliverables: Implement automated failover triggers based on health check results. Build orchestration workflows for common failure scenarios using AWS Step Functions or equivalent. Establish quarterly DR drill schedule. Introduce chaos engineering practices including GameDay events. Continuous improvement based on testing results and operational experience.</w:t>
      </w:r>
    </w:p>
    <w:p w:rsidR="00000000" w:rsidDel="00000000" w:rsidP="00000000" w:rsidRDefault="00000000" w:rsidRPr="00000000" w14:paraId="00000103">
      <w:pPr>
        <w:spacing w:after="200" w:lineRule="auto"/>
        <w:rPr>
          <w:rFonts w:ascii="Arial" w:cs="Arial" w:eastAsia="Arial" w:hAnsi="Arial"/>
        </w:rPr>
      </w:pPr>
      <w:r w:rsidDel="00000000" w:rsidR="00000000" w:rsidRPr="00000000">
        <w:rPr>
          <w:rFonts w:ascii="Arial" w:cs="Arial" w:eastAsia="Arial" w:hAnsi="Arial"/>
          <w:rtl w:val="0"/>
        </w:rPr>
        <w:t xml:space="preserve">Success Criteria: Automated failover successfully tested for all Tier 1 applications. RTO consistently meets targets in testing. Operations team demonstrates competency in failover procedures.</w:t>
      </w:r>
    </w:p>
    <w:p w:rsidR="00000000" w:rsidDel="00000000" w:rsidP="00000000" w:rsidRDefault="00000000" w:rsidRPr="00000000" w14:paraId="00000104">
      <w:pPr>
        <w:pStyle w:val="Heading2"/>
        <w:rPr>
          <w:rFonts w:ascii="Arial" w:cs="Arial" w:eastAsia="Arial" w:hAnsi="Arial"/>
        </w:rPr>
      </w:pPr>
      <w:r w:rsidDel="00000000" w:rsidR="00000000" w:rsidRPr="00000000">
        <w:rPr>
          <w:rFonts w:ascii="Arial" w:cs="Arial" w:eastAsia="Arial" w:hAnsi="Arial"/>
          <w:rtl w:val="0"/>
        </w:rPr>
        <w:t xml:space="preserve">10.2 Success Metrics and KPIs</w:t>
      </w:r>
    </w:p>
    <w:tbl>
      <w:tblPr>
        <w:tblStyle w:val="Table2"/>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1635"/>
        <w:gridCol w:w="1395"/>
        <w:gridCol w:w="3585"/>
        <w:tblGridChange w:id="0">
          <w:tblGrid>
            <w:gridCol w:w="2550"/>
            <w:gridCol w:w="1635"/>
            <w:gridCol w:w="1395"/>
            <w:gridCol w:w="358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Baseline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Target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4e78" w:val="clear"/>
            <w:tcMar>
              <w:top w:w="80.0" w:type="dxa"/>
              <w:left w:w="120.0" w:type="dxa"/>
              <w:bottom w:w="80.0" w:type="dxa"/>
              <w:right w:w="120.0" w:type="dxa"/>
            </w:tcMar>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Measurement Method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rFonts w:ascii="Arial" w:cs="Arial" w:eastAsia="Arial" w:hAnsi="Arial"/>
              </w:rPr>
            </w:pPr>
            <w:r w:rsidDel="00000000" w:rsidR="00000000" w:rsidRPr="00000000">
              <w:rPr>
                <w:rFonts w:ascii="Arial" w:cs="Arial" w:eastAsia="Arial" w:hAnsi="Arial"/>
                <w:sz w:val="22"/>
                <w:szCs w:val="22"/>
                <w:rtl w:val="0"/>
              </w:rPr>
              <w:t xml:space="preserve">Application Availability (Tier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rFonts w:ascii="Arial" w:cs="Arial" w:eastAsia="Arial" w:hAnsi="Arial"/>
              </w:rPr>
            </w:pPr>
            <w:r w:rsidDel="00000000" w:rsidR="00000000" w:rsidRPr="00000000">
              <w:rPr>
                <w:rFonts w:ascii="Arial" w:cs="Arial" w:eastAsia="Arial" w:hAnsi="Arial"/>
                <w:sz w:val="22"/>
                <w:szCs w:val="22"/>
                <w:rtl w:val="0"/>
              </w:rPr>
              <w:t xml:space="preserve">99.5%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0B">
            <w:pPr>
              <w:jc w:val="left"/>
              <w:rPr>
                <w:rFonts w:ascii="Arial" w:cs="Arial" w:eastAsia="Arial" w:hAnsi="Arial"/>
              </w:rPr>
            </w:pPr>
            <w:r w:rsidDel="00000000" w:rsidR="00000000" w:rsidRPr="00000000">
              <w:rPr>
                <w:rFonts w:ascii="Arial" w:cs="Arial" w:eastAsia="Arial" w:hAnsi="Arial"/>
                <w:sz w:val="22"/>
                <w:szCs w:val="22"/>
                <w:rtl w:val="0"/>
              </w:rPr>
              <w:t xml:space="preserve">99.99%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rFonts w:ascii="Arial" w:cs="Arial" w:eastAsia="Arial" w:hAnsi="Arial"/>
              </w:rPr>
            </w:pPr>
            <w:r w:rsidDel="00000000" w:rsidR="00000000" w:rsidRPr="00000000">
              <w:rPr>
                <w:rFonts w:ascii="Arial" w:cs="Arial" w:eastAsia="Arial" w:hAnsi="Arial"/>
                <w:sz w:val="22"/>
                <w:szCs w:val="22"/>
                <w:rtl w:val="0"/>
              </w:rPr>
              <w:t xml:space="preserve">Uptime monitoring across all regions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0D">
            <w:pPr>
              <w:jc w:val="left"/>
              <w:rPr>
                <w:rFonts w:ascii="Arial" w:cs="Arial" w:eastAsia="Arial" w:hAnsi="Arial"/>
              </w:rPr>
            </w:pPr>
            <w:r w:rsidDel="00000000" w:rsidR="00000000" w:rsidRPr="00000000">
              <w:rPr>
                <w:rFonts w:ascii="Arial" w:cs="Arial" w:eastAsia="Arial" w:hAnsi="Arial"/>
                <w:sz w:val="22"/>
                <w:szCs w:val="22"/>
                <w:rtl w:val="0"/>
              </w:rPr>
              <w:t xml:space="preserve">Recovery Time Objective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0E">
            <w:pPr>
              <w:jc w:val="left"/>
              <w:rPr>
                <w:rFonts w:ascii="Arial" w:cs="Arial" w:eastAsia="Arial" w:hAnsi="Arial"/>
              </w:rPr>
            </w:pPr>
            <w:r w:rsidDel="00000000" w:rsidR="00000000" w:rsidRPr="00000000">
              <w:rPr>
                <w:rFonts w:ascii="Arial" w:cs="Arial" w:eastAsia="Arial" w:hAnsi="Arial"/>
                <w:sz w:val="22"/>
                <w:szCs w:val="22"/>
                <w:rtl w:val="0"/>
              </w:rPr>
              <w:t xml:space="preserve">30-120 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0F">
            <w:pPr>
              <w:jc w:val="left"/>
              <w:rPr>
                <w:rFonts w:ascii="Arial" w:cs="Arial" w:eastAsia="Arial" w:hAnsi="Arial"/>
              </w:rPr>
            </w:pPr>
            <w:r w:rsidDel="00000000" w:rsidR="00000000" w:rsidRPr="00000000">
              <w:rPr>
                <w:rFonts w:ascii="Arial" w:cs="Arial" w:eastAsia="Arial" w:hAnsi="Arial"/>
                <w:sz w:val="22"/>
                <w:szCs w:val="22"/>
                <w:rtl w:val="0"/>
              </w:rPr>
              <w:t xml:space="preserve">&lt;5 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10">
            <w:pPr>
              <w:jc w:val="left"/>
              <w:rPr>
                <w:rFonts w:ascii="Arial" w:cs="Arial" w:eastAsia="Arial" w:hAnsi="Arial"/>
              </w:rPr>
            </w:pPr>
            <w:r w:rsidDel="00000000" w:rsidR="00000000" w:rsidRPr="00000000">
              <w:rPr>
                <w:rFonts w:ascii="Arial" w:cs="Arial" w:eastAsia="Arial" w:hAnsi="Arial"/>
                <w:sz w:val="22"/>
                <w:szCs w:val="22"/>
                <w:rtl w:val="0"/>
              </w:rPr>
              <w:t xml:space="preserve">Measured during DR tests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rFonts w:ascii="Arial" w:cs="Arial" w:eastAsia="Arial" w:hAnsi="Arial"/>
              </w:rPr>
            </w:pPr>
            <w:r w:rsidDel="00000000" w:rsidR="00000000" w:rsidRPr="00000000">
              <w:rPr>
                <w:rFonts w:ascii="Arial" w:cs="Arial" w:eastAsia="Arial" w:hAnsi="Arial"/>
                <w:sz w:val="22"/>
                <w:szCs w:val="22"/>
                <w:rtl w:val="0"/>
              </w:rPr>
              <w:t xml:space="preserve">Recovery Point Objective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rFonts w:ascii="Arial" w:cs="Arial" w:eastAsia="Arial" w:hAnsi="Arial"/>
              </w:rPr>
            </w:pPr>
            <w:r w:rsidDel="00000000" w:rsidR="00000000" w:rsidRPr="00000000">
              <w:rPr>
                <w:rFonts w:ascii="Arial" w:cs="Arial" w:eastAsia="Arial" w:hAnsi="Arial"/>
                <w:sz w:val="22"/>
                <w:szCs w:val="22"/>
                <w:rtl w:val="0"/>
              </w:rPr>
              <w:t xml:space="preserve">1-4 hours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rFonts w:ascii="Arial" w:cs="Arial" w:eastAsia="Arial" w:hAnsi="Arial"/>
              </w:rPr>
            </w:pPr>
            <w:r w:rsidDel="00000000" w:rsidR="00000000" w:rsidRPr="00000000">
              <w:rPr>
                <w:rFonts w:ascii="Arial" w:cs="Arial" w:eastAsia="Arial" w:hAnsi="Arial"/>
                <w:sz w:val="22"/>
                <w:szCs w:val="22"/>
                <w:rtl w:val="0"/>
              </w:rPr>
              <w:t xml:space="preserve">&lt;1 minute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rFonts w:ascii="Arial" w:cs="Arial" w:eastAsia="Arial" w:hAnsi="Arial"/>
              </w:rPr>
            </w:pPr>
            <w:r w:rsidDel="00000000" w:rsidR="00000000" w:rsidRPr="00000000">
              <w:rPr>
                <w:rFonts w:ascii="Arial" w:cs="Arial" w:eastAsia="Arial" w:hAnsi="Arial"/>
                <w:sz w:val="22"/>
                <w:szCs w:val="22"/>
                <w:rtl w:val="0"/>
              </w:rPr>
              <w:t xml:space="preserve">Database replication lag monitoring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15">
            <w:pPr>
              <w:jc w:val="left"/>
              <w:rPr>
                <w:rFonts w:ascii="Arial" w:cs="Arial" w:eastAsia="Arial" w:hAnsi="Arial"/>
              </w:rPr>
            </w:pPr>
            <w:r w:rsidDel="00000000" w:rsidR="00000000" w:rsidRPr="00000000">
              <w:rPr>
                <w:rFonts w:ascii="Arial" w:cs="Arial" w:eastAsia="Arial" w:hAnsi="Arial"/>
                <w:sz w:val="22"/>
                <w:szCs w:val="22"/>
                <w:rtl w:val="0"/>
              </w:rPr>
              <w:t xml:space="preserve">DR Test Success 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16">
            <w:pPr>
              <w:jc w:val="left"/>
              <w:rPr>
                <w:rFonts w:ascii="Arial" w:cs="Arial" w:eastAsia="Arial" w:hAnsi="Arial"/>
              </w:rPr>
            </w:pPr>
            <w:r w:rsidDel="00000000" w:rsidR="00000000" w:rsidRPr="00000000">
              <w:rPr>
                <w:rFonts w:ascii="Arial" w:cs="Arial" w:eastAsia="Arial" w:hAnsi="Arial"/>
                <w:sz w:val="22"/>
                <w:szCs w:val="22"/>
                <w:rtl w:val="0"/>
              </w:rPr>
              <w:t xml:space="preserve">N/A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17">
            <w:pPr>
              <w:jc w:val="left"/>
              <w:rPr>
                <w:rFonts w:ascii="Arial" w:cs="Arial" w:eastAsia="Arial" w:hAnsi="Arial"/>
              </w:rPr>
            </w:pPr>
            <w:r w:rsidDel="00000000" w:rsidR="00000000" w:rsidRPr="00000000">
              <w:rPr>
                <w:rFonts w:ascii="Arial" w:cs="Arial" w:eastAsia="Arial" w:hAnsi="Arial"/>
                <w:sz w:val="22"/>
                <w:szCs w:val="22"/>
                <w:rtl w:val="0"/>
              </w:rPr>
              <w:t xml:space="preserve">&gt;95%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80.0" w:type="dxa"/>
              <w:left w:w="120.0" w:type="dxa"/>
              <w:bottom w:w="80.0" w:type="dxa"/>
              <w:right w:w="120.0" w:type="dxa"/>
            </w:tcMar>
          </w:tcPr>
          <w:p w:rsidR="00000000" w:rsidDel="00000000" w:rsidP="00000000" w:rsidRDefault="00000000" w:rsidRPr="00000000" w14:paraId="00000118">
            <w:pPr>
              <w:jc w:val="left"/>
              <w:rPr>
                <w:rFonts w:ascii="Arial" w:cs="Arial" w:eastAsia="Arial" w:hAnsi="Arial"/>
              </w:rPr>
            </w:pPr>
            <w:r w:rsidDel="00000000" w:rsidR="00000000" w:rsidRPr="00000000">
              <w:rPr>
                <w:rFonts w:ascii="Arial" w:cs="Arial" w:eastAsia="Arial" w:hAnsi="Arial"/>
                <w:sz w:val="22"/>
                <w:szCs w:val="22"/>
                <w:rtl w:val="0"/>
              </w:rPr>
              <w:t xml:space="preserve">Quarterly test results tracking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9">
            <w:pPr>
              <w:jc w:val="left"/>
              <w:rPr>
                <w:rFonts w:ascii="Arial" w:cs="Arial" w:eastAsia="Arial" w:hAnsi="Arial"/>
              </w:rPr>
            </w:pPr>
            <w:r w:rsidDel="00000000" w:rsidR="00000000" w:rsidRPr="00000000">
              <w:rPr>
                <w:rFonts w:ascii="Arial" w:cs="Arial" w:eastAsia="Arial" w:hAnsi="Arial"/>
                <w:sz w:val="22"/>
                <w:szCs w:val="22"/>
                <w:rtl w:val="0"/>
              </w:rPr>
              <w:t xml:space="preserve">Mean Time To Detect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A">
            <w:pPr>
              <w:jc w:val="left"/>
              <w:rPr>
                <w:rFonts w:ascii="Arial" w:cs="Arial" w:eastAsia="Arial" w:hAnsi="Arial"/>
              </w:rPr>
            </w:pPr>
            <w:r w:rsidDel="00000000" w:rsidR="00000000" w:rsidRPr="00000000">
              <w:rPr>
                <w:rFonts w:ascii="Arial" w:cs="Arial" w:eastAsia="Arial" w:hAnsi="Arial"/>
                <w:sz w:val="22"/>
                <w:szCs w:val="22"/>
                <w:rtl w:val="0"/>
              </w:rPr>
              <w:t xml:space="preserve">15-60 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B">
            <w:pPr>
              <w:jc w:val="left"/>
              <w:rPr>
                <w:rFonts w:ascii="Arial" w:cs="Arial" w:eastAsia="Arial" w:hAnsi="Arial"/>
              </w:rPr>
            </w:pPr>
            <w:r w:rsidDel="00000000" w:rsidR="00000000" w:rsidRPr="00000000">
              <w:rPr>
                <w:rFonts w:ascii="Arial" w:cs="Arial" w:eastAsia="Arial" w:hAnsi="Arial"/>
                <w:sz w:val="22"/>
                <w:szCs w:val="22"/>
                <w:rtl w:val="0"/>
              </w:rPr>
              <w:t xml:space="preserve">&lt;60 sec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rFonts w:ascii="Arial" w:cs="Arial" w:eastAsia="Arial" w:hAnsi="Arial"/>
              </w:rPr>
            </w:pPr>
            <w:r w:rsidDel="00000000" w:rsidR="00000000" w:rsidRPr="00000000">
              <w:rPr>
                <w:rFonts w:ascii="Arial" w:cs="Arial" w:eastAsia="Arial" w:hAnsi="Arial"/>
                <w:sz w:val="22"/>
                <w:szCs w:val="22"/>
                <w:rtl w:val="0"/>
              </w:rPr>
              <w:t xml:space="preserve">Health check alert timing</w:t>
            </w:r>
            <w:r w:rsidDel="00000000" w:rsidR="00000000" w:rsidRPr="00000000">
              <w:rPr>
                <w:rtl w:val="0"/>
              </w:rPr>
            </w:r>
          </w:p>
        </w:tc>
      </w:tr>
    </w:tbl>
    <w:p w:rsidR="00000000" w:rsidDel="00000000" w:rsidP="00000000" w:rsidRDefault="00000000" w:rsidRPr="00000000" w14:paraId="0000011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rFonts w:ascii="Arial" w:cs="Arial" w:eastAsia="Arial" w:hAnsi="Arial"/>
        </w:rPr>
      </w:pPr>
      <w:r w:rsidDel="00000000" w:rsidR="00000000" w:rsidRPr="00000000">
        <w:rPr>
          <w:rFonts w:ascii="Arial" w:cs="Arial" w:eastAsia="Arial" w:hAnsi="Arial"/>
          <w:rtl w:val="0"/>
        </w:rPr>
        <w:t xml:space="preserve">11. References and Authoritative Sources</w:t>
      </w:r>
    </w:p>
    <w:p w:rsidR="00000000" w:rsidDel="00000000" w:rsidP="00000000" w:rsidRDefault="00000000" w:rsidRPr="00000000" w14:paraId="0000011F">
      <w:pPr>
        <w:pStyle w:val="Heading2"/>
        <w:rPr>
          <w:rFonts w:ascii="Arial" w:cs="Arial" w:eastAsia="Arial" w:hAnsi="Arial"/>
        </w:rPr>
      </w:pPr>
      <w:r w:rsidDel="00000000" w:rsidR="00000000" w:rsidRPr="00000000">
        <w:rPr>
          <w:rFonts w:ascii="Arial" w:cs="Arial" w:eastAsia="Arial" w:hAnsi="Arial"/>
          <w:rtl w:val="0"/>
        </w:rPr>
        <w:t xml:space="preserve">11.1 Cloud Provider Documentation and Whitepapers</w:t>
      </w:r>
    </w:p>
    <w:p w:rsidR="00000000" w:rsidDel="00000000" w:rsidP="00000000" w:rsidRDefault="00000000" w:rsidRPr="00000000" w14:paraId="00000120">
      <w:pPr>
        <w:spacing w:after="200" w:lineRule="auto"/>
        <w:rPr>
          <w:rFonts w:ascii="Arial" w:cs="Arial" w:eastAsia="Arial" w:hAnsi="Arial"/>
        </w:rPr>
      </w:pPr>
      <w:r w:rsidDel="00000000" w:rsidR="00000000" w:rsidRPr="00000000">
        <w:rPr>
          <w:rFonts w:ascii="Arial" w:cs="Arial" w:eastAsia="Arial" w:hAnsi="Arial"/>
          <w:rtl w:val="0"/>
        </w:rPr>
        <w:t xml:space="preserve">1. AWS Well-Architected Framework - Reliability Pillar</w:t>
      </w:r>
    </w:p>
    <w:p w:rsidR="00000000" w:rsidDel="00000000" w:rsidP="00000000" w:rsidRDefault="00000000" w:rsidRPr="00000000" w14:paraId="00000121">
      <w:pPr>
        <w:spacing w:after="200" w:lineRule="auto"/>
        <w:rPr>
          <w:rFonts w:ascii="Arial" w:cs="Arial" w:eastAsia="Arial" w:hAnsi="Arial"/>
        </w:rPr>
      </w:pPr>
      <w:r w:rsidDel="00000000" w:rsidR="00000000" w:rsidRPr="00000000">
        <w:rPr>
          <w:rFonts w:ascii="Arial" w:cs="Arial" w:eastAsia="Arial" w:hAnsi="Arial"/>
          <w:rtl w:val="0"/>
        </w:rPr>
        <w:t xml:space="preserve">   Amazon Web Services provides comprehensive guidance on building reliable cloud architectures including multi-region design patterns, failover strategies, and disaster recovery approaches.</w:t>
      </w:r>
    </w:p>
    <w:p w:rsidR="00000000" w:rsidDel="00000000" w:rsidP="00000000" w:rsidRDefault="00000000" w:rsidRPr="00000000" w14:paraId="00000122">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3">
        <w:r w:rsidDel="00000000" w:rsidR="00000000" w:rsidRPr="00000000">
          <w:rPr>
            <w:rFonts w:ascii="Arial" w:cs="Arial" w:eastAsia="Arial" w:hAnsi="Arial"/>
            <w:color w:val="1155cc"/>
            <w:u w:val="single"/>
            <w:rtl w:val="0"/>
          </w:rPr>
          <w:t xml:space="preserve">https://docs.aws.amazon.com/wellarchitected/latest/reliability-pillar/</w:t>
        </w:r>
      </w:hyperlink>
      <w:r w:rsidDel="00000000" w:rsidR="00000000" w:rsidRPr="00000000">
        <w:rPr>
          <w:rtl w:val="0"/>
        </w:rPr>
      </w:r>
    </w:p>
    <w:p w:rsidR="00000000" w:rsidDel="00000000" w:rsidP="00000000" w:rsidRDefault="00000000" w:rsidRPr="00000000" w14:paraId="0000012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200" w:lineRule="auto"/>
        <w:rPr>
          <w:rFonts w:ascii="Arial" w:cs="Arial" w:eastAsia="Arial" w:hAnsi="Arial"/>
        </w:rPr>
      </w:pPr>
      <w:r w:rsidDel="00000000" w:rsidR="00000000" w:rsidRPr="00000000">
        <w:rPr>
          <w:rFonts w:ascii="Arial" w:cs="Arial" w:eastAsia="Arial" w:hAnsi="Arial"/>
          <w:rtl w:val="0"/>
        </w:rPr>
        <w:t xml:space="preserve">2. AWS Disaster Recovery Strategies</w:t>
      </w:r>
    </w:p>
    <w:p w:rsidR="00000000" w:rsidDel="00000000" w:rsidP="00000000" w:rsidRDefault="00000000" w:rsidRPr="00000000" w14:paraId="00000125">
      <w:pPr>
        <w:spacing w:after="200" w:lineRule="auto"/>
        <w:rPr>
          <w:rFonts w:ascii="Arial" w:cs="Arial" w:eastAsia="Arial" w:hAnsi="Arial"/>
        </w:rPr>
      </w:pPr>
      <w:r w:rsidDel="00000000" w:rsidR="00000000" w:rsidRPr="00000000">
        <w:rPr>
          <w:rFonts w:ascii="Arial" w:cs="Arial" w:eastAsia="Arial" w:hAnsi="Arial"/>
          <w:rtl w:val="0"/>
        </w:rPr>
        <w:t xml:space="preserve">   Detailed whitepaper covering pilot light, warm standby, and multi-site active-active disaster recovery patterns with implementation guidance and cost optimization strategies.</w:t>
      </w:r>
    </w:p>
    <w:p w:rsidR="00000000" w:rsidDel="00000000" w:rsidP="00000000" w:rsidRDefault="00000000" w:rsidRPr="00000000" w14:paraId="00000126">
      <w:pPr>
        <w:spacing w:after="200" w:lineRule="auto"/>
        <w:rPr>
          <w:rFonts w:ascii="Arial" w:cs="Arial" w:eastAsia="Arial" w:hAnsi="Arial"/>
        </w:rPr>
      </w:pPr>
      <w:r w:rsidDel="00000000" w:rsidR="00000000" w:rsidRPr="00000000">
        <w:rPr>
          <w:rFonts w:ascii="Arial" w:cs="Arial" w:eastAsia="Arial" w:hAnsi="Arial"/>
          <w:rtl w:val="0"/>
        </w:rPr>
        <w:t xml:space="preserve">   https://docs.aws.amazon.com/whitepapers/latest/disaster-recovery-workloads-on-aws/</w:t>
      </w:r>
    </w:p>
    <w:p w:rsidR="00000000" w:rsidDel="00000000" w:rsidP="00000000" w:rsidRDefault="00000000" w:rsidRPr="00000000" w14:paraId="00000127">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28">
      <w:pPr>
        <w:spacing w:after="200" w:lineRule="auto"/>
        <w:rPr>
          <w:rFonts w:ascii="Arial" w:cs="Arial" w:eastAsia="Arial" w:hAnsi="Arial"/>
        </w:rPr>
      </w:pPr>
      <w:r w:rsidDel="00000000" w:rsidR="00000000" w:rsidRPr="00000000">
        <w:rPr>
          <w:rFonts w:ascii="Arial" w:cs="Arial" w:eastAsia="Arial" w:hAnsi="Arial"/>
          <w:rtl w:val="0"/>
        </w:rPr>
        <w:t xml:space="preserve">3. Microsoft Azure Architecture Center - Multi-Region Design</w:t>
      </w:r>
    </w:p>
    <w:p w:rsidR="00000000" w:rsidDel="00000000" w:rsidP="00000000" w:rsidRDefault="00000000" w:rsidRPr="00000000" w14:paraId="00000129">
      <w:pPr>
        <w:spacing w:after="200" w:lineRule="auto"/>
        <w:rPr>
          <w:rFonts w:ascii="Arial" w:cs="Arial" w:eastAsia="Arial" w:hAnsi="Arial"/>
        </w:rPr>
      </w:pPr>
      <w:r w:rsidDel="00000000" w:rsidR="00000000" w:rsidRPr="00000000">
        <w:rPr>
          <w:rFonts w:ascii="Arial" w:cs="Arial" w:eastAsia="Arial" w:hAnsi="Arial"/>
          <w:rtl w:val="0"/>
        </w:rPr>
        <w:t xml:space="preserve">   Azure-specific guidance on implementing multi-region applications including Traffic Manager configuration, Cosmos DB multi-master replication, and geo-redundant storage patterns.</w:t>
      </w:r>
    </w:p>
    <w:p w:rsidR="00000000" w:rsidDel="00000000" w:rsidP="00000000" w:rsidRDefault="00000000" w:rsidRPr="00000000" w14:paraId="0000012A">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4">
        <w:r w:rsidDel="00000000" w:rsidR="00000000" w:rsidRPr="00000000">
          <w:rPr>
            <w:rFonts w:ascii="Arial" w:cs="Arial" w:eastAsia="Arial" w:hAnsi="Arial"/>
            <w:color w:val="1155cc"/>
            <w:u w:val="single"/>
            <w:rtl w:val="0"/>
          </w:rPr>
          <w:t xml:space="preserve"> https://learn.microsoft.com/en-us/azure/architecture/</w:t>
        </w:r>
      </w:hyperlink>
      <w:r w:rsidDel="00000000" w:rsidR="00000000" w:rsidRPr="00000000">
        <w:rPr>
          <w:rtl w:val="0"/>
        </w:rPr>
      </w:r>
    </w:p>
    <w:p w:rsidR="00000000" w:rsidDel="00000000" w:rsidP="00000000" w:rsidRDefault="00000000" w:rsidRPr="00000000" w14:paraId="0000012B">
      <w:pPr>
        <w:pStyle w:val="Heading2"/>
        <w:rPr>
          <w:rFonts w:ascii="Arial" w:cs="Arial" w:eastAsia="Arial" w:hAnsi="Arial"/>
        </w:rPr>
      </w:pPr>
      <w:r w:rsidDel="00000000" w:rsidR="00000000" w:rsidRPr="00000000">
        <w:rPr>
          <w:rFonts w:ascii="Arial" w:cs="Arial" w:eastAsia="Arial" w:hAnsi="Arial"/>
          <w:rtl w:val="0"/>
        </w:rPr>
        <w:t xml:space="preserve">11.2 Industry Standards and Best Practices</w:t>
      </w:r>
    </w:p>
    <w:p w:rsidR="00000000" w:rsidDel="00000000" w:rsidP="00000000" w:rsidRDefault="00000000" w:rsidRPr="00000000" w14:paraId="0000012C">
      <w:pPr>
        <w:spacing w:after="200" w:lineRule="auto"/>
        <w:rPr>
          <w:rFonts w:ascii="Arial" w:cs="Arial" w:eastAsia="Arial" w:hAnsi="Arial"/>
        </w:rPr>
      </w:pPr>
      <w:r w:rsidDel="00000000" w:rsidR="00000000" w:rsidRPr="00000000">
        <w:rPr>
          <w:rFonts w:ascii="Arial" w:cs="Arial" w:eastAsia="Arial" w:hAnsi="Arial"/>
          <w:rtl w:val="0"/>
        </w:rPr>
        <w:t xml:space="preserve">4. Google Site Reliability Engineering (SRE) Book</w:t>
      </w:r>
    </w:p>
    <w:p w:rsidR="00000000" w:rsidDel="00000000" w:rsidP="00000000" w:rsidRDefault="00000000" w:rsidRPr="00000000" w14:paraId="0000012D">
      <w:pPr>
        <w:spacing w:after="200" w:lineRule="auto"/>
        <w:rPr>
          <w:rFonts w:ascii="Arial" w:cs="Arial" w:eastAsia="Arial" w:hAnsi="Arial"/>
        </w:rPr>
      </w:pPr>
      <w:r w:rsidDel="00000000" w:rsidR="00000000" w:rsidRPr="00000000">
        <w:rPr>
          <w:rFonts w:ascii="Arial" w:cs="Arial" w:eastAsia="Arial" w:hAnsi="Arial"/>
          <w:rtl w:val="0"/>
        </w:rPr>
        <w:t xml:space="preserve">   Foundational text on reliability engineering practices including monitoring, incident response, and disaster recovery testing based on Google's operational experience at global scale.</w:t>
      </w:r>
    </w:p>
    <w:p w:rsidR="00000000" w:rsidDel="00000000" w:rsidP="00000000" w:rsidRDefault="00000000" w:rsidRPr="00000000" w14:paraId="0000012E">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5">
        <w:r w:rsidDel="00000000" w:rsidR="00000000" w:rsidRPr="00000000">
          <w:rPr>
            <w:rFonts w:ascii="Arial" w:cs="Arial" w:eastAsia="Arial" w:hAnsi="Arial"/>
            <w:color w:val="1155cc"/>
            <w:u w:val="single"/>
            <w:rtl w:val="0"/>
          </w:rPr>
          <w:t xml:space="preserve">https://sre.google/sre-book/</w:t>
        </w:r>
      </w:hyperlink>
      <w:r w:rsidDel="00000000" w:rsidR="00000000" w:rsidRPr="00000000">
        <w:rPr>
          <w:rtl w:val="0"/>
        </w:rPr>
      </w:r>
    </w:p>
    <w:p w:rsidR="00000000" w:rsidDel="00000000" w:rsidP="00000000" w:rsidRDefault="00000000" w:rsidRPr="00000000" w14:paraId="0000012F">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30">
      <w:pPr>
        <w:spacing w:after="200" w:lineRule="auto"/>
        <w:rPr>
          <w:rFonts w:ascii="Arial" w:cs="Arial" w:eastAsia="Arial" w:hAnsi="Arial"/>
        </w:rPr>
      </w:pPr>
      <w:r w:rsidDel="00000000" w:rsidR="00000000" w:rsidRPr="00000000">
        <w:rPr>
          <w:rFonts w:ascii="Arial" w:cs="Arial" w:eastAsia="Arial" w:hAnsi="Arial"/>
          <w:rtl w:val="0"/>
        </w:rPr>
        <w:t xml:space="preserve">5. NIST Special Publication 800-34 Rev. 1 - Contingency Planning Guide for Federal Information Systems</w:t>
      </w:r>
    </w:p>
    <w:p w:rsidR="00000000" w:rsidDel="00000000" w:rsidP="00000000" w:rsidRDefault="00000000" w:rsidRPr="00000000" w14:paraId="00000131">
      <w:pPr>
        <w:spacing w:after="200" w:lineRule="auto"/>
        <w:rPr>
          <w:rFonts w:ascii="Arial" w:cs="Arial" w:eastAsia="Arial" w:hAnsi="Arial"/>
        </w:rPr>
      </w:pPr>
      <w:r w:rsidDel="00000000" w:rsidR="00000000" w:rsidRPr="00000000">
        <w:rPr>
          <w:rFonts w:ascii="Arial" w:cs="Arial" w:eastAsia="Arial" w:hAnsi="Arial"/>
          <w:rtl w:val="0"/>
        </w:rPr>
        <w:t xml:space="preserve">   U.S. National Institute of Standards and Technology guidance on contingency planning, business impact analysis, and recovery strategy development applicable across industries.</w:t>
      </w:r>
    </w:p>
    <w:p w:rsidR="00000000" w:rsidDel="00000000" w:rsidP="00000000" w:rsidRDefault="00000000" w:rsidRPr="00000000" w14:paraId="00000132">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6">
        <w:r w:rsidDel="00000000" w:rsidR="00000000" w:rsidRPr="00000000">
          <w:rPr>
            <w:rFonts w:ascii="Arial" w:cs="Arial" w:eastAsia="Arial" w:hAnsi="Arial"/>
            <w:color w:val="1155cc"/>
            <w:u w:val="single"/>
            <w:rtl w:val="0"/>
          </w:rPr>
          <w:t xml:space="preserve">https://csrc.nist.gov/publications/detail/sp/800-34/rev-1/final</w:t>
        </w:r>
      </w:hyperlink>
      <w:r w:rsidDel="00000000" w:rsidR="00000000" w:rsidRPr="00000000">
        <w:rPr>
          <w:rtl w:val="0"/>
        </w:rPr>
      </w:r>
    </w:p>
    <w:p w:rsidR="00000000" w:rsidDel="00000000" w:rsidP="00000000" w:rsidRDefault="00000000" w:rsidRPr="00000000" w14:paraId="0000013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200" w:lineRule="auto"/>
        <w:rPr>
          <w:rFonts w:ascii="Arial" w:cs="Arial" w:eastAsia="Arial" w:hAnsi="Arial"/>
        </w:rPr>
      </w:pPr>
      <w:r w:rsidDel="00000000" w:rsidR="00000000" w:rsidRPr="00000000">
        <w:rPr>
          <w:rFonts w:ascii="Arial" w:cs="Arial" w:eastAsia="Arial" w:hAnsi="Arial"/>
          <w:rtl w:val="0"/>
        </w:rPr>
        <w:t xml:space="preserve">6. ISO 22301:2019 - Security and Resilience - Business Continuity Management Systems</w:t>
      </w:r>
    </w:p>
    <w:p w:rsidR="00000000" w:rsidDel="00000000" w:rsidP="00000000" w:rsidRDefault="00000000" w:rsidRPr="00000000" w14:paraId="00000135">
      <w:pPr>
        <w:spacing w:after="200" w:lineRule="auto"/>
        <w:rPr>
          <w:rFonts w:ascii="Arial" w:cs="Arial" w:eastAsia="Arial" w:hAnsi="Arial"/>
        </w:rPr>
      </w:pPr>
      <w:r w:rsidDel="00000000" w:rsidR="00000000" w:rsidRPr="00000000">
        <w:rPr>
          <w:rFonts w:ascii="Arial" w:cs="Arial" w:eastAsia="Arial" w:hAnsi="Arial"/>
          <w:rtl w:val="0"/>
        </w:rPr>
        <w:t xml:space="preserve">   International standard for business continuity management establishing requirements for planning, establishing, implementing, operating, monitoring, and improving business continuity capabilities.</w:t>
      </w:r>
    </w:p>
    <w:p w:rsidR="00000000" w:rsidDel="00000000" w:rsidP="00000000" w:rsidRDefault="00000000" w:rsidRPr="00000000" w14:paraId="00000136">
      <w:pPr>
        <w:pStyle w:val="Heading2"/>
        <w:rPr>
          <w:rFonts w:ascii="Arial" w:cs="Arial" w:eastAsia="Arial" w:hAnsi="Arial"/>
        </w:rPr>
      </w:pPr>
      <w:r w:rsidDel="00000000" w:rsidR="00000000" w:rsidRPr="00000000">
        <w:rPr>
          <w:rFonts w:ascii="Arial" w:cs="Arial" w:eastAsia="Arial" w:hAnsi="Arial"/>
          <w:rtl w:val="0"/>
        </w:rPr>
        <w:t xml:space="preserve">11.3 Regulatory and Compliance Sources</w:t>
      </w:r>
    </w:p>
    <w:p w:rsidR="00000000" w:rsidDel="00000000" w:rsidP="00000000" w:rsidRDefault="00000000" w:rsidRPr="00000000" w14:paraId="00000137">
      <w:pPr>
        <w:spacing w:after="200" w:lineRule="auto"/>
        <w:rPr>
          <w:rFonts w:ascii="Arial" w:cs="Arial" w:eastAsia="Arial" w:hAnsi="Arial"/>
        </w:rPr>
      </w:pPr>
      <w:r w:rsidDel="00000000" w:rsidR="00000000" w:rsidRPr="00000000">
        <w:rPr>
          <w:rFonts w:ascii="Arial" w:cs="Arial" w:eastAsia="Arial" w:hAnsi="Arial"/>
          <w:rtl w:val="0"/>
        </w:rPr>
        <w:t xml:space="preserve">7. Digital Operational Resilience Act (DORA) - Regulation (EU) 2022/2554</w:t>
      </w:r>
    </w:p>
    <w:p w:rsidR="00000000" w:rsidDel="00000000" w:rsidP="00000000" w:rsidRDefault="00000000" w:rsidRPr="00000000" w14:paraId="00000138">
      <w:pPr>
        <w:spacing w:after="200" w:lineRule="auto"/>
        <w:rPr>
          <w:rFonts w:ascii="Arial" w:cs="Arial" w:eastAsia="Arial" w:hAnsi="Arial"/>
        </w:rPr>
      </w:pPr>
      <w:r w:rsidDel="00000000" w:rsidR="00000000" w:rsidRPr="00000000">
        <w:rPr>
          <w:rFonts w:ascii="Arial" w:cs="Arial" w:eastAsia="Arial" w:hAnsi="Arial"/>
          <w:rtl w:val="0"/>
        </w:rPr>
        <w:t xml:space="preserve">   European Union regulation establishing uniform requirements for the security of network and information systems of entities operating in the financial sector.</w:t>
      </w:r>
    </w:p>
    <w:p w:rsidR="00000000" w:rsidDel="00000000" w:rsidP="00000000" w:rsidRDefault="00000000" w:rsidRPr="00000000" w14:paraId="00000139">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7">
        <w:r w:rsidDel="00000000" w:rsidR="00000000" w:rsidRPr="00000000">
          <w:rPr>
            <w:rFonts w:ascii="Arial" w:cs="Arial" w:eastAsia="Arial" w:hAnsi="Arial"/>
            <w:color w:val="1155cc"/>
            <w:u w:val="single"/>
            <w:rtl w:val="0"/>
          </w:rPr>
          <w:t xml:space="preserve">https://eur-lex.europa.eu/eli/reg/2022/2554/oj</w:t>
        </w:r>
      </w:hyperlink>
      <w:r w:rsidDel="00000000" w:rsidR="00000000" w:rsidRPr="00000000">
        <w:rPr>
          <w:rtl w:val="0"/>
        </w:rPr>
      </w:r>
    </w:p>
    <w:p w:rsidR="00000000" w:rsidDel="00000000" w:rsidP="00000000" w:rsidRDefault="00000000" w:rsidRPr="00000000" w14:paraId="0000013A">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200" w:lineRule="auto"/>
        <w:rPr>
          <w:rFonts w:ascii="Arial" w:cs="Arial" w:eastAsia="Arial" w:hAnsi="Arial"/>
        </w:rPr>
      </w:pPr>
      <w:r w:rsidDel="00000000" w:rsidR="00000000" w:rsidRPr="00000000">
        <w:rPr>
          <w:rFonts w:ascii="Arial" w:cs="Arial" w:eastAsia="Arial" w:hAnsi="Arial"/>
          <w:rtl w:val="0"/>
        </w:rPr>
        <w:t xml:space="preserve">8. European Banking Authority Guidelines on ICT and Security Risk Management (EBA/GL/2019/04)</w:t>
      </w:r>
    </w:p>
    <w:p w:rsidR="00000000" w:rsidDel="00000000" w:rsidP="00000000" w:rsidRDefault="00000000" w:rsidRPr="00000000" w14:paraId="0000013C">
      <w:pPr>
        <w:spacing w:after="200" w:lineRule="auto"/>
        <w:rPr>
          <w:rFonts w:ascii="Arial" w:cs="Arial" w:eastAsia="Arial" w:hAnsi="Arial"/>
        </w:rPr>
      </w:pPr>
      <w:r w:rsidDel="00000000" w:rsidR="00000000" w:rsidRPr="00000000">
        <w:rPr>
          <w:rFonts w:ascii="Arial" w:cs="Arial" w:eastAsia="Arial" w:hAnsi="Arial"/>
          <w:rtl w:val="0"/>
        </w:rPr>
        <w:t xml:space="preserve">   Detailed implementation guidance for financial institutions on ICT risk management, cloud outsourcing, and operational resilience.</w:t>
      </w:r>
    </w:p>
    <w:p w:rsidR="00000000" w:rsidDel="00000000" w:rsidP="00000000" w:rsidRDefault="00000000" w:rsidRPr="00000000" w14:paraId="0000013D">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8">
        <w:r w:rsidDel="00000000" w:rsidR="00000000" w:rsidRPr="00000000">
          <w:rPr>
            <w:rFonts w:ascii="Arial" w:cs="Arial" w:eastAsia="Arial" w:hAnsi="Arial"/>
            <w:color w:val="1155cc"/>
            <w:u w:val="single"/>
            <w:rtl w:val="0"/>
          </w:rPr>
          <w:t xml:space="preserve">https://www.eba.europa.eu/</w:t>
        </w:r>
      </w:hyperlink>
      <w:r w:rsidDel="00000000" w:rsidR="00000000" w:rsidRPr="00000000">
        <w:rPr>
          <w:rtl w:val="0"/>
        </w:rPr>
      </w:r>
    </w:p>
    <w:p w:rsidR="00000000" w:rsidDel="00000000" w:rsidP="00000000" w:rsidRDefault="00000000" w:rsidRPr="00000000" w14:paraId="0000013E">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3F">
      <w:pPr>
        <w:spacing w:after="200" w:lineRule="auto"/>
        <w:rPr>
          <w:rFonts w:ascii="Arial" w:cs="Arial" w:eastAsia="Arial" w:hAnsi="Arial"/>
        </w:rPr>
      </w:pPr>
      <w:r w:rsidDel="00000000" w:rsidR="00000000" w:rsidRPr="00000000">
        <w:rPr>
          <w:rFonts w:ascii="Arial" w:cs="Arial" w:eastAsia="Arial" w:hAnsi="Arial"/>
          <w:rtl w:val="0"/>
        </w:rPr>
        <w:t xml:space="preserve">9. European Central Bank Guide on Outsourcing to Cloud Service Providers</w:t>
      </w:r>
    </w:p>
    <w:p w:rsidR="00000000" w:rsidDel="00000000" w:rsidP="00000000" w:rsidRDefault="00000000" w:rsidRPr="00000000" w14:paraId="00000140">
      <w:pPr>
        <w:spacing w:after="200" w:lineRule="auto"/>
        <w:rPr>
          <w:rFonts w:ascii="Arial" w:cs="Arial" w:eastAsia="Arial" w:hAnsi="Arial"/>
        </w:rPr>
      </w:pPr>
      <w:r w:rsidDel="00000000" w:rsidR="00000000" w:rsidRPr="00000000">
        <w:rPr>
          <w:rFonts w:ascii="Arial" w:cs="Arial" w:eastAsia="Arial" w:hAnsi="Arial"/>
          <w:rtl w:val="0"/>
        </w:rPr>
        <w:t xml:space="preserve">   Supervisory expectations for credit institutions using cloud services including risk assessment, contractual arrangements, and exit planning requirements.</w:t>
      </w:r>
    </w:p>
    <w:p w:rsidR="00000000" w:rsidDel="00000000" w:rsidP="00000000" w:rsidRDefault="00000000" w:rsidRPr="00000000" w14:paraId="00000141">
      <w:pPr>
        <w:pStyle w:val="Heading2"/>
        <w:rPr>
          <w:rFonts w:ascii="Arial" w:cs="Arial" w:eastAsia="Arial" w:hAnsi="Arial"/>
        </w:rPr>
      </w:pPr>
      <w:r w:rsidDel="00000000" w:rsidR="00000000" w:rsidRPr="00000000">
        <w:rPr>
          <w:rFonts w:ascii="Arial" w:cs="Arial" w:eastAsia="Arial" w:hAnsi="Arial"/>
          <w:rtl w:val="0"/>
        </w:rPr>
        <w:t xml:space="preserve">11.4 Industry Case Studies and Research</w:t>
      </w:r>
    </w:p>
    <w:p w:rsidR="00000000" w:rsidDel="00000000" w:rsidP="00000000" w:rsidRDefault="00000000" w:rsidRPr="00000000" w14:paraId="00000142">
      <w:pPr>
        <w:spacing w:after="200" w:lineRule="auto"/>
        <w:rPr>
          <w:rFonts w:ascii="Arial" w:cs="Arial" w:eastAsia="Arial" w:hAnsi="Arial"/>
        </w:rPr>
      </w:pPr>
      <w:r w:rsidDel="00000000" w:rsidR="00000000" w:rsidRPr="00000000">
        <w:rPr>
          <w:rFonts w:ascii="Arial" w:cs="Arial" w:eastAsia="Arial" w:hAnsi="Arial"/>
          <w:rtl w:val="0"/>
        </w:rPr>
        <w:t xml:space="preserve">10. The Netflix Simian Army - Chaos Engineering at Scale</w:t>
      </w:r>
    </w:p>
    <w:p w:rsidR="00000000" w:rsidDel="00000000" w:rsidP="00000000" w:rsidRDefault="00000000" w:rsidRPr="00000000" w14:paraId="00000143">
      <w:pPr>
        <w:spacing w:after="200" w:lineRule="auto"/>
        <w:rPr>
          <w:rFonts w:ascii="Arial" w:cs="Arial" w:eastAsia="Arial" w:hAnsi="Arial"/>
        </w:rPr>
      </w:pPr>
      <w:r w:rsidDel="00000000" w:rsidR="00000000" w:rsidRPr="00000000">
        <w:rPr>
          <w:rFonts w:ascii="Arial" w:cs="Arial" w:eastAsia="Arial" w:hAnsi="Arial"/>
          <w:rtl w:val="0"/>
        </w:rPr>
        <w:t xml:space="preserve">    Netflix engineering blog describing chaos engineering tools and practices including Chaos Monkey, Chaos Kong (simulated region failures), and lessons learned from deliberate failure injection.</w:t>
      </w:r>
    </w:p>
    <w:p w:rsidR="00000000" w:rsidDel="00000000" w:rsidP="00000000" w:rsidRDefault="00000000" w:rsidRPr="00000000" w14:paraId="00000144">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19">
        <w:r w:rsidDel="00000000" w:rsidR="00000000" w:rsidRPr="00000000">
          <w:rPr>
            <w:rFonts w:ascii="Arial" w:cs="Arial" w:eastAsia="Arial" w:hAnsi="Arial"/>
            <w:color w:val="1155cc"/>
            <w:u w:val="single"/>
            <w:rtl w:val="0"/>
          </w:rPr>
          <w:t xml:space="preserve">https://netflixtechblog.com/the-netflix-simian-army-16e57fbab116</w:t>
        </w:r>
      </w:hyperlink>
      <w:r w:rsidDel="00000000" w:rsidR="00000000" w:rsidRPr="00000000">
        <w:rPr>
          <w:rtl w:val="0"/>
        </w:rPr>
      </w:r>
    </w:p>
    <w:p w:rsidR="00000000" w:rsidDel="00000000" w:rsidP="00000000" w:rsidRDefault="00000000" w:rsidRPr="00000000" w14:paraId="00000145">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46">
      <w:pPr>
        <w:spacing w:after="200" w:lineRule="auto"/>
        <w:rPr>
          <w:rFonts w:ascii="Arial" w:cs="Arial" w:eastAsia="Arial" w:hAnsi="Arial"/>
        </w:rPr>
      </w:pPr>
      <w:r w:rsidDel="00000000" w:rsidR="00000000" w:rsidRPr="00000000">
        <w:rPr>
          <w:rFonts w:ascii="Arial" w:cs="Arial" w:eastAsia="Arial" w:hAnsi="Arial"/>
          <w:rtl w:val="0"/>
        </w:rPr>
        <w:t xml:space="preserve">11. CAP Twelve Years Later: How the Rules Have Changed - Eric Brewer</w:t>
      </w:r>
    </w:p>
    <w:p w:rsidR="00000000" w:rsidDel="00000000" w:rsidP="00000000" w:rsidRDefault="00000000" w:rsidRPr="00000000" w14:paraId="00000147">
      <w:pPr>
        <w:spacing w:after="200" w:lineRule="auto"/>
        <w:rPr>
          <w:rFonts w:ascii="Arial" w:cs="Arial" w:eastAsia="Arial" w:hAnsi="Arial"/>
        </w:rPr>
      </w:pPr>
      <w:r w:rsidDel="00000000" w:rsidR="00000000" w:rsidRPr="00000000">
        <w:rPr>
          <w:rFonts w:ascii="Arial" w:cs="Arial" w:eastAsia="Arial" w:hAnsi="Arial"/>
          <w:rtl w:val="0"/>
        </w:rPr>
        <w:t xml:space="preserve">    Retrospective analysis by CAP theorem author discussing practical implications for distributed systems design and evolution of understanding around consistency-availability trade-offs.</w:t>
      </w:r>
    </w:p>
    <w:p w:rsidR="00000000" w:rsidDel="00000000" w:rsidP="00000000" w:rsidRDefault="00000000" w:rsidRPr="00000000" w14:paraId="00000148">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20">
        <w:r w:rsidDel="00000000" w:rsidR="00000000" w:rsidRPr="00000000">
          <w:rPr>
            <w:rFonts w:ascii="Arial" w:cs="Arial" w:eastAsia="Arial" w:hAnsi="Arial"/>
            <w:color w:val="1155cc"/>
            <w:u w:val="single"/>
            <w:rtl w:val="0"/>
          </w:rPr>
          <w:t xml:space="preserve"> https://www.infoq.com/articles/cap-twelve-years-later-how-the-rules-have-changed/</w:t>
        </w:r>
      </w:hyperlink>
      <w:r w:rsidDel="00000000" w:rsidR="00000000" w:rsidRPr="00000000">
        <w:rPr>
          <w:rtl w:val="0"/>
        </w:rPr>
      </w:r>
    </w:p>
    <w:p w:rsidR="00000000" w:rsidDel="00000000" w:rsidP="00000000" w:rsidRDefault="00000000" w:rsidRPr="00000000" w14:paraId="00000149">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4A">
      <w:pPr>
        <w:spacing w:after="200" w:lineRule="auto"/>
        <w:rPr>
          <w:rFonts w:ascii="Arial" w:cs="Arial" w:eastAsia="Arial" w:hAnsi="Arial"/>
        </w:rPr>
      </w:pPr>
      <w:r w:rsidDel="00000000" w:rsidR="00000000" w:rsidRPr="00000000">
        <w:rPr>
          <w:rFonts w:ascii="Arial" w:cs="Arial" w:eastAsia="Arial" w:hAnsi="Arial"/>
          <w:rtl w:val="0"/>
        </w:rPr>
        <w:t xml:space="preserve">12. Patterns of Distributed Systems - Martin Fowler</w:t>
      </w:r>
    </w:p>
    <w:p w:rsidR="00000000" w:rsidDel="00000000" w:rsidP="00000000" w:rsidRDefault="00000000" w:rsidRPr="00000000" w14:paraId="0000014B">
      <w:pPr>
        <w:spacing w:after="200" w:lineRule="auto"/>
        <w:rPr>
          <w:rFonts w:ascii="Arial" w:cs="Arial" w:eastAsia="Arial" w:hAnsi="Arial"/>
        </w:rPr>
      </w:pPr>
      <w:r w:rsidDel="00000000" w:rsidR="00000000" w:rsidRPr="00000000">
        <w:rPr>
          <w:rFonts w:ascii="Arial" w:cs="Arial" w:eastAsia="Arial" w:hAnsi="Arial"/>
          <w:rtl w:val="0"/>
        </w:rPr>
        <w:t xml:space="preserve">    Comprehensive catalog of architectural patterns for building resilient distributed systems including replication, failover, and consensus mechanisms.</w:t>
      </w:r>
    </w:p>
    <w:p w:rsidR="00000000" w:rsidDel="00000000" w:rsidP="00000000" w:rsidRDefault="00000000" w:rsidRPr="00000000" w14:paraId="0000014C">
      <w:pPr>
        <w:spacing w:after="200" w:lineRule="auto"/>
        <w:rPr>
          <w:rFonts w:ascii="Arial" w:cs="Arial" w:eastAsia="Arial" w:hAnsi="Arial"/>
        </w:rPr>
      </w:pPr>
      <w:r w:rsidDel="00000000" w:rsidR="00000000" w:rsidRPr="00000000">
        <w:rPr>
          <w:rFonts w:ascii="Arial" w:cs="Arial" w:eastAsia="Arial" w:hAnsi="Arial"/>
          <w:rtl w:val="0"/>
        </w:rPr>
        <w:t xml:space="preserve">    </w:t>
      </w:r>
      <w:hyperlink r:id="rId21">
        <w:r w:rsidDel="00000000" w:rsidR="00000000" w:rsidRPr="00000000">
          <w:rPr>
            <w:rFonts w:ascii="Arial" w:cs="Arial" w:eastAsia="Arial" w:hAnsi="Arial"/>
            <w:color w:val="1155cc"/>
            <w:u w:val="single"/>
            <w:rtl w:val="0"/>
          </w:rPr>
          <w:t xml:space="preserve">https://martinfowler.com/articles/patterns-of-distributed-systems/</w:t>
        </w:r>
      </w:hyperlink>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rFonts w:ascii="Arial" w:cs="Arial" w:eastAsia="Arial" w:hAnsi="Arial"/>
        </w:rPr>
      </w:pPr>
      <w:r w:rsidDel="00000000" w:rsidR="00000000" w:rsidRPr="00000000">
        <w:rPr>
          <w:rFonts w:ascii="Arial" w:cs="Arial" w:eastAsia="Arial" w:hAnsi="Arial"/>
          <w:rtl w:val="0"/>
        </w:rPr>
        <w:t xml:space="preserve">12. Conclusions and Recommendations</w:t>
      </w:r>
    </w:p>
    <w:p w:rsidR="00000000" w:rsidDel="00000000" w:rsidP="00000000" w:rsidRDefault="00000000" w:rsidRPr="00000000" w14:paraId="0000014F">
      <w:pPr>
        <w:pStyle w:val="Heading2"/>
        <w:rPr>
          <w:rFonts w:ascii="Arial" w:cs="Arial" w:eastAsia="Arial" w:hAnsi="Arial"/>
        </w:rPr>
      </w:pPr>
      <w:r w:rsidDel="00000000" w:rsidR="00000000" w:rsidRPr="00000000">
        <w:rPr>
          <w:rFonts w:ascii="Arial" w:cs="Arial" w:eastAsia="Arial" w:hAnsi="Arial"/>
          <w:rtl w:val="0"/>
        </w:rPr>
        <w:t xml:space="preserve">12.1 Key Takeaways</w:t>
      </w:r>
    </w:p>
    <w:p w:rsidR="00000000" w:rsidDel="00000000" w:rsidP="00000000" w:rsidRDefault="00000000" w:rsidRPr="00000000" w14:paraId="00000150">
      <w:pPr>
        <w:spacing w:after="200" w:lineRule="auto"/>
        <w:rPr>
          <w:rFonts w:ascii="Arial" w:cs="Arial" w:eastAsia="Arial" w:hAnsi="Arial"/>
        </w:rPr>
      </w:pPr>
      <w:r w:rsidDel="00000000" w:rsidR="00000000" w:rsidRPr="00000000">
        <w:rPr>
          <w:rFonts w:ascii="Arial" w:cs="Arial" w:eastAsia="Arial" w:hAnsi="Arial"/>
          <w:rtl w:val="0"/>
        </w:rPr>
        <w:t xml:space="preserve">Multi-region capability requires more than geographic distribution. True operational resilience demands external observation infrastructure, automated traffic coordination, and continuous state synchronization. Organizations maintaining distributed deployments without these coordination mechanisms cannot achieve availability targets required for business-critical applications.</w:t>
      </w:r>
    </w:p>
    <w:p w:rsidR="00000000" w:rsidDel="00000000" w:rsidP="00000000" w:rsidRDefault="00000000" w:rsidRPr="00000000" w14:paraId="00000151">
      <w:pPr>
        <w:spacing w:after="200" w:lineRule="auto"/>
        <w:rPr>
          <w:rFonts w:ascii="Arial" w:cs="Arial" w:eastAsia="Arial" w:hAnsi="Arial"/>
        </w:rPr>
      </w:pPr>
      <w:r w:rsidDel="00000000" w:rsidR="00000000" w:rsidRPr="00000000">
        <w:rPr>
          <w:rFonts w:ascii="Arial" w:cs="Arial" w:eastAsia="Arial" w:hAnsi="Arial"/>
          <w:rtl w:val="0"/>
        </w:rPr>
        <w:t xml:space="preserve">Economic analysis clearly differentiates multi-region and multi-cloud value propositions. Multi-region architecture within single providers delivers substantial resilience improvements at 30% cost premium over single-region deployments. Multi-cloud architectures provide additional provider-level redundancy but introduce 68% total cost increase, making them appropriate only for applications where regulatory requirements mandate provider independence or where business impact of provider failures justifies the investment premium.</w:t>
      </w:r>
    </w:p>
    <w:p w:rsidR="00000000" w:rsidDel="00000000" w:rsidP="00000000" w:rsidRDefault="00000000" w:rsidRPr="00000000" w14:paraId="00000152">
      <w:pPr>
        <w:spacing w:after="200" w:lineRule="auto"/>
        <w:rPr>
          <w:rFonts w:ascii="Arial" w:cs="Arial" w:eastAsia="Arial" w:hAnsi="Arial"/>
        </w:rPr>
      </w:pPr>
      <w:r w:rsidDel="00000000" w:rsidR="00000000" w:rsidRPr="00000000">
        <w:rPr>
          <w:rFonts w:ascii="Arial" w:cs="Arial" w:eastAsia="Arial" w:hAnsi="Arial"/>
          <w:rtl w:val="0"/>
        </w:rPr>
        <w:t xml:space="preserve">Regulatory landscape increasingly mandates resilience investment. DORA requirements for financial institutions explicitly address ICT concentration risk, creating compliance obligations that may necessitate multi-cloud deployment for certain Tier 1 applications regardless of pure cost-benefit analysis. Organizations should integrate regulatory requirements into architectural decision frameworks rather than treating compliance as separate concern.</w:t>
      </w:r>
    </w:p>
    <w:p w:rsidR="00000000" w:rsidDel="00000000" w:rsidP="00000000" w:rsidRDefault="00000000" w:rsidRPr="00000000" w14:paraId="00000153">
      <w:pPr>
        <w:spacing w:after="200" w:lineRule="auto"/>
        <w:rPr>
          <w:rFonts w:ascii="Arial" w:cs="Arial" w:eastAsia="Arial" w:hAnsi="Arial"/>
        </w:rPr>
      </w:pPr>
      <w:r w:rsidDel="00000000" w:rsidR="00000000" w:rsidRPr="00000000">
        <w:rPr>
          <w:rFonts w:ascii="Arial" w:cs="Arial" w:eastAsia="Arial" w:hAnsi="Arial"/>
          <w:rtl w:val="0"/>
        </w:rPr>
        <w:t xml:space="preserve">Implementation requires systematic approach. Organizations cannot successfully transition from single-region to multi-region architecture in single step. Phased implementation building external observation, then traffic coordination, then state synchronization, and finally automation enables organizational learning while delivering incremental business value.</w:t>
      </w:r>
    </w:p>
    <w:p w:rsidR="00000000" w:rsidDel="00000000" w:rsidP="00000000" w:rsidRDefault="00000000" w:rsidRPr="00000000" w14:paraId="00000154">
      <w:pPr>
        <w:pStyle w:val="Heading2"/>
        <w:rPr>
          <w:rFonts w:ascii="Arial" w:cs="Arial" w:eastAsia="Arial" w:hAnsi="Arial"/>
        </w:rPr>
      </w:pPr>
      <w:r w:rsidDel="00000000" w:rsidR="00000000" w:rsidRPr="00000000">
        <w:rPr>
          <w:rFonts w:ascii="Arial" w:cs="Arial" w:eastAsia="Arial" w:hAnsi="Arial"/>
          <w:rtl w:val="0"/>
        </w:rPr>
        <w:t xml:space="preserve">12.2 Strategic Recommendations for Jose</w:t>
      </w:r>
    </w:p>
    <w:p w:rsidR="00000000" w:rsidDel="00000000" w:rsidP="00000000" w:rsidRDefault="00000000" w:rsidRPr="00000000" w14:paraId="00000155">
      <w:pPr>
        <w:spacing w:after="200" w:lineRule="auto"/>
        <w:rPr>
          <w:rFonts w:ascii="Arial" w:cs="Arial" w:eastAsia="Arial" w:hAnsi="Arial"/>
        </w:rPr>
      </w:pPr>
      <w:r w:rsidDel="00000000" w:rsidR="00000000" w:rsidRPr="00000000">
        <w:rPr>
          <w:rFonts w:ascii="Arial" w:cs="Arial" w:eastAsia="Arial" w:hAnsi="Arial"/>
          <w:rtl w:val="0"/>
        </w:rPr>
        <w:t xml:space="preserve">Immediate Actions (Next 30 Days): Conduct audit of current application portfolio identifying which applications claim multi-region capability and validating whether external coordination mechanisms exist. Classify applications into tiers based on business criticality, RTO/RPO requirements, and regulatory obligations. Prioritize Tier 1 applications for Phase 1 multi-region implementation. Establish project governance structure and assign executive sponsorship.</w:t>
      </w:r>
    </w:p>
    <w:p w:rsidR="00000000" w:rsidDel="00000000" w:rsidP="00000000" w:rsidRDefault="00000000" w:rsidRPr="00000000" w14:paraId="00000156">
      <w:pPr>
        <w:spacing w:after="200" w:lineRule="auto"/>
        <w:rPr>
          <w:rFonts w:ascii="Arial" w:cs="Arial" w:eastAsia="Arial" w:hAnsi="Arial"/>
        </w:rPr>
      </w:pPr>
      <w:r w:rsidDel="00000000" w:rsidR="00000000" w:rsidRPr="00000000">
        <w:rPr>
          <w:rFonts w:ascii="Arial" w:cs="Arial" w:eastAsia="Arial" w:hAnsi="Arial"/>
          <w:rtl w:val="0"/>
        </w:rPr>
        <w:t xml:space="preserve">Short-Term Priorities (3-6 Months): Implement external observation infrastructure for all Tier 1 and Tier 2 applications per Phase 1 roadmap. Begin traffic coordination implementation for highest-priority applications. Conduct initial disaster recovery testing using manual procedures to baseline current RTO/RPO capabilities. Develop business case for multi-cloud implementation for specific applications where DORA concentration risk assessment indicates requirement.</w:t>
      </w:r>
    </w:p>
    <w:p w:rsidR="00000000" w:rsidDel="00000000" w:rsidP="00000000" w:rsidRDefault="00000000" w:rsidRPr="00000000" w14:paraId="00000157">
      <w:pPr>
        <w:spacing w:after="200" w:lineRule="auto"/>
        <w:rPr>
          <w:rFonts w:ascii="Arial" w:cs="Arial" w:eastAsia="Arial" w:hAnsi="Arial"/>
        </w:rPr>
      </w:pPr>
      <w:r w:rsidDel="00000000" w:rsidR="00000000" w:rsidRPr="00000000">
        <w:rPr>
          <w:rFonts w:ascii="Arial" w:cs="Arial" w:eastAsia="Arial" w:hAnsi="Arial"/>
          <w:rtl w:val="0"/>
        </w:rPr>
        <w:t xml:space="preserve">Medium-Term Objectives (6-18 Months): Complete multi-region implementation including state synchronization for all Tier 1 applications. Establish automated failover capability with regular quarterly testing. Build organizational capability in chaos engineering and resilience practices. Evaluate multi-cloud requirement for specific applications based on regulatory guidance and business impact analysis.</w:t>
      </w:r>
    </w:p>
    <w:p w:rsidR="00000000" w:rsidDel="00000000" w:rsidP="00000000" w:rsidRDefault="00000000" w:rsidRPr="00000000" w14:paraId="00000158">
      <w:pPr>
        <w:spacing w:after="200" w:lineRule="auto"/>
        <w:rPr>
          <w:rFonts w:ascii="Arial" w:cs="Arial" w:eastAsia="Arial" w:hAnsi="Arial"/>
        </w:rPr>
      </w:pPr>
      <w:r w:rsidDel="00000000" w:rsidR="00000000" w:rsidRPr="00000000">
        <w:rPr>
          <w:rFonts w:ascii="Arial" w:cs="Arial" w:eastAsia="Arial" w:hAnsi="Arial"/>
          <w:rtl w:val="0"/>
        </w:rPr>
        <w:t xml:space="preserve">Long-Term Strategic Direction: Evolve from current ad-hoc regional deployment to systematic multi-region capability as organizational standard for business-critical applications. Establish resilience engineering as core competency with dedicated team, processes, and continuous improvement practices. Position Jose as industry leader in operational resilience demonstrating regulatory compliance, business continuity capability, and customer commitment.</w:t>
      </w:r>
    </w:p>
    <w:p w:rsidR="00000000" w:rsidDel="00000000" w:rsidP="00000000" w:rsidRDefault="00000000" w:rsidRPr="00000000" w14:paraId="00000159">
      <w:pPr>
        <w:pStyle w:val="Heading2"/>
        <w:rPr>
          <w:rFonts w:ascii="Arial" w:cs="Arial" w:eastAsia="Arial" w:hAnsi="Arial"/>
        </w:rPr>
      </w:pPr>
      <w:r w:rsidDel="00000000" w:rsidR="00000000" w:rsidRPr="00000000">
        <w:rPr>
          <w:rFonts w:ascii="Arial" w:cs="Arial" w:eastAsia="Arial" w:hAnsi="Arial"/>
          <w:rtl w:val="0"/>
        </w:rPr>
        <w:t xml:space="preserve">12.3 Critical Success Factors</w:t>
      </w:r>
    </w:p>
    <w:p w:rsidR="00000000" w:rsidDel="00000000" w:rsidP="00000000" w:rsidRDefault="00000000" w:rsidRPr="00000000" w14:paraId="0000015A">
      <w:pPr>
        <w:spacing w:after="200" w:lineRule="auto"/>
        <w:rPr>
          <w:rFonts w:ascii="Arial" w:cs="Arial" w:eastAsia="Arial" w:hAnsi="Arial"/>
        </w:rPr>
      </w:pPr>
      <w:r w:rsidDel="00000000" w:rsidR="00000000" w:rsidRPr="00000000">
        <w:rPr>
          <w:rFonts w:ascii="Arial" w:cs="Arial" w:eastAsia="Arial" w:hAnsi="Arial"/>
          <w:rtl w:val="0"/>
        </w:rPr>
        <w:t xml:space="preserve">Executive sponsorship and sustained commitment. Multi-region transformation requires multi-year investment in technology, processes, and capabilities. Success requires consistent executive support even when facing competing priorities or cost pressures.</w:t>
      </w:r>
    </w:p>
    <w:p w:rsidR="00000000" w:rsidDel="00000000" w:rsidP="00000000" w:rsidRDefault="00000000" w:rsidRPr="00000000" w14:paraId="0000015B">
      <w:pPr>
        <w:spacing w:after="200" w:lineRule="auto"/>
        <w:rPr>
          <w:rFonts w:ascii="Arial" w:cs="Arial" w:eastAsia="Arial" w:hAnsi="Arial"/>
        </w:rPr>
      </w:pPr>
      <w:r w:rsidDel="00000000" w:rsidR="00000000" w:rsidRPr="00000000">
        <w:rPr>
          <w:rFonts w:ascii="Arial" w:cs="Arial" w:eastAsia="Arial" w:hAnsi="Arial"/>
          <w:rtl w:val="0"/>
        </w:rPr>
        <w:t xml:space="preserve">Incremental delivery of business value. Phased implementation enables demonstrating value through availability improvements, successful disaster recovery tests, and regulatory compliance achievement at each phase rather than requiring complete implementation before business benefits materialize.</w:t>
      </w:r>
    </w:p>
    <w:p w:rsidR="00000000" w:rsidDel="00000000" w:rsidP="00000000" w:rsidRDefault="00000000" w:rsidRPr="00000000" w14:paraId="0000015C">
      <w:pPr>
        <w:spacing w:after="200" w:lineRule="auto"/>
        <w:rPr>
          <w:rFonts w:ascii="Arial" w:cs="Arial" w:eastAsia="Arial" w:hAnsi="Arial"/>
        </w:rPr>
      </w:pPr>
      <w:r w:rsidDel="00000000" w:rsidR="00000000" w:rsidRPr="00000000">
        <w:rPr>
          <w:rFonts w:ascii="Arial" w:cs="Arial" w:eastAsia="Arial" w:hAnsi="Arial"/>
          <w:rtl w:val="0"/>
        </w:rPr>
        <w:t xml:space="preserve">Investment in organizational capability. Technology implementation alone is insufficient. Organizations must develop operational competency through training, testing, and experience managing multi-region environments. Chaos engineering and regular DR testing build muscle memory essential for successful incident response.</w:t>
      </w:r>
    </w:p>
    <w:p w:rsidR="00000000" w:rsidDel="00000000" w:rsidP="00000000" w:rsidRDefault="00000000" w:rsidRPr="00000000" w14:paraId="0000015D">
      <w:pPr>
        <w:spacing w:after="200" w:lineRule="auto"/>
        <w:rPr>
          <w:rFonts w:ascii="Arial" w:cs="Arial" w:eastAsia="Arial" w:hAnsi="Arial"/>
        </w:rPr>
      </w:pPr>
      <w:r w:rsidDel="00000000" w:rsidR="00000000" w:rsidRPr="00000000">
        <w:rPr>
          <w:rFonts w:ascii="Arial" w:cs="Arial" w:eastAsia="Arial" w:hAnsi="Arial"/>
          <w:rtl w:val="0"/>
        </w:rPr>
        <w:t xml:space="preserve">Balanced approach to multi-cloud. Organizations should avoid viewing multi-cloud as universal solution or categorical requirement. Strategic application of multi-cloud for specific use cases where business value justifies cost premium represents a more sustainable approach than attempting to implement multi-cloud broadly across application portfolios.</w:t>
      </w:r>
    </w:p>
    <w:p w:rsidR="00000000" w:rsidDel="00000000" w:rsidP="00000000" w:rsidRDefault="00000000" w:rsidRPr="00000000" w14:paraId="000001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rFonts w:ascii="Arial" w:cs="Arial" w:eastAsia="Arial" w:hAnsi="Arial"/>
        </w:rPr>
      </w:pPr>
      <w:r w:rsidDel="00000000" w:rsidR="00000000" w:rsidRPr="00000000">
        <w:rPr>
          <w:rFonts w:ascii="Arial" w:cs="Arial" w:eastAsia="Arial" w:hAnsi="Arial"/>
          <w:rtl w:val="0"/>
        </w:rPr>
        <w:t xml:space="preserve">Document Control</w:t>
      </w:r>
    </w:p>
    <w:p w:rsidR="00000000" w:rsidDel="00000000" w:rsidP="00000000" w:rsidRDefault="00000000" w:rsidRPr="00000000" w14:paraId="00000160">
      <w:pPr>
        <w:spacing w:after="200" w:lineRule="auto"/>
        <w:rPr>
          <w:rFonts w:ascii="Arial" w:cs="Arial" w:eastAsia="Arial" w:hAnsi="Arial"/>
        </w:rPr>
      </w:pPr>
      <w:r w:rsidDel="00000000" w:rsidR="00000000" w:rsidRPr="00000000">
        <w:rPr>
          <w:rFonts w:ascii="Arial" w:cs="Arial" w:eastAsia="Arial" w:hAnsi="Arial"/>
          <w:rtl w:val="0"/>
        </w:rPr>
        <w:t xml:space="preserve">Version: 3.0</w:t>
      </w:r>
    </w:p>
    <w:p w:rsidR="00000000" w:rsidDel="00000000" w:rsidP="00000000" w:rsidRDefault="00000000" w:rsidRPr="00000000" w14:paraId="00000161">
      <w:pPr>
        <w:spacing w:after="200" w:lineRule="auto"/>
        <w:rPr>
          <w:rFonts w:ascii="Arial" w:cs="Arial" w:eastAsia="Arial" w:hAnsi="Arial"/>
        </w:rPr>
      </w:pPr>
      <w:r w:rsidDel="00000000" w:rsidR="00000000" w:rsidRPr="00000000">
        <w:rPr>
          <w:rFonts w:ascii="Arial" w:cs="Arial" w:eastAsia="Arial" w:hAnsi="Arial"/>
          <w:rtl w:val="0"/>
        </w:rPr>
        <w:t xml:space="preserve">Date: January 2026</w:t>
      </w:r>
    </w:p>
    <w:p w:rsidR="00000000" w:rsidDel="00000000" w:rsidP="00000000" w:rsidRDefault="00000000" w:rsidRPr="00000000" w14:paraId="00000162">
      <w:pPr>
        <w:spacing w:after="200" w:lineRule="auto"/>
        <w:rPr>
          <w:rFonts w:ascii="Arial" w:cs="Arial" w:eastAsia="Arial" w:hAnsi="Arial"/>
        </w:rPr>
      </w:pPr>
      <w:r w:rsidDel="00000000" w:rsidR="00000000" w:rsidRPr="00000000">
        <w:rPr>
          <w:rFonts w:ascii="Arial" w:cs="Arial" w:eastAsia="Arial" w:hAnsi="Arial"/>
          <w:rtl w:val="0"/>
        </w:rPr>
        <w:t xml:space="preserve">Author: Cloud Architecture Team, Angel Corporate &amp; Investment Banking</w:t>
      </w:r>
    </w:p>
    <w:p w:rsidR="00000000" w:rsidDel="00000000" w:rsidP="00000000" w:rsidRDefault="00000000" w:rsidRPr="00000000" w14:paraId="00000163">
      <w:pPr>
        <w:spacing w:after="200" w:lineRule="auto"/>
        <w:rPr>
          <w:rFonts w:ascii="Arial" w:cs="Arial" w:eastAsia="Arial" w:hAnsi="Arial"/>
        </w:rPr>
      </w:pPr>
      <w:r w:rsidDel="00000000" w:rsidR="00000000" w:rsidRPr="00000000">
        <w:rPr>
          <w:rFonts w:ascii="Arial" w:cs="Arial" w:eastAsia="Arial" w:hAnsi="Arial"/>
          <w:rtl w:val="0"/>
        </w:rPr>
        <w:t xml:space="preserve">Classification: Internal - Strategic</w:t>
      </w:r>
    </w:p>
    <w:p w:rsidR="00000000" w:rsidDel="00000000" w:rsidP="00000000" w:rsidRDefault="00000000" w:rsidRPr="00000000" w14:paraId="00000164">
      <w:pPr>
        <w:spacing w:after="200" w:lineRule="auto"/>
        <w:rPr>
          <w:rFonts w:ascii="Arial" w:cs="Arial" w:eastAsia="Arial" w:hAnsi="Arial"/>
        </w:rPr>
      </w:pPr>
      <w:r w:rsidDel="00000000" w:rsidR="00000000" w:rsidRPr="00000000">
        <w:rPr>
          <w:rFonts w:ascii="Arial" w:cs="Arial" w:eastAsia="Arial" w:hAnsi="Arial"/>
          <w:rtl w:val="0"/>
        </w:rPr>
        <w:t xml:space="preserve">Distribution: CTO, VP Engineering, Cloud Architecture Team, Enterprise Architecture</w:t>
      </w:r>
    </w:p>
    <w:p w:rsidR="00000000" w:rsidDel="00000000" w:rsidP="00000000" w:rsidRDefault="00000000" w:rsidRPr="00000000" w14:paraId="00000165">
      <w:pPr>
        <w:spacing w:after="200" w:lineRule="auto"/>
        <w:rPr>
          <w:rFonts w:ascii="Arial" w:cs="Arial" w:eastAsia="Arial" w:hAnsi="Arial"/>
        </w:rPr>
      </w:pPr>
      <w:r w:rsidDel="00000000" w:rsidR="00000000" w:rsidRPr="00000000">
        <w:rPr>
          <w:rFonts w:ascii="Arial" w:cs="Arial" w:eastAsia="Arial" w:hAnsi="Arial"/>
          <w:rtl w:val="0"/>
        </w:rPr>
        <w:t xml:space="preserve">Next Review: July 2026</w:t>
      </w:r>
    </w:p>
    <w:p w:rsidR="00000000" w:rsidDel="00000000" w:rsidP="00000000" w:rsidRDefault="00000000" w:rsidRPr="00000000" w14:paraId="0000016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67">
      <w:pPr>
        <w:spacing w:after="200" w:lineRule="auto"/>
        <w:rPr>
          <w:rFonts w:ascii="Arial" w:cs="Arial" w:eastAsia="Arial" w:hAnsi="Arial"/>
        </w:rPr>
      </w:pPr>
      <w:r w:rsidDel="00000000" w:rsidR="00000000" w:rsidRPr="00000000">
        <w:rPr>
          <w:rFonts w:ascii="Arial" w:cs="Arial" w:eastAsia="Arial" w:hAnsi="Arial"/>
          <w:rtl w:val="0"/>
        </w:rPr>
        <w:t xml:space="preserve">Document History:</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Version 1.0 (October 2025): Initial draft covering basic multi-region concepts</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Version 2.0 (December 2025): Added DORA regulatory analysis and cost modeling</w:t>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Version 3.0 (January 2026): Comprehensive analysis including industry case studies, detailed cost models, risk framework, technical deep dive, operational procedures, and authoritative references</w:t>
      </w:r>
    </w:p>
    <w:p w:rsidR="00000000" w:rsidDel="00000000" w:rsidP="00000000" w:rsidRDefault="00000000" w:rsidRPr="00000000" w14:paraId="0000016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6C">
      <w:pPr>
        <w:spacing w:after="200" w:lineRule="auto"/>
        <w:rPr>
          <w:rFonts w:ascii="Arial" w:cs="Arial" w:eastAsia="Arial" w:hAnsi="Arial"/>
        </w:rPr>
      </w:pPr>
      <w:r w:rsidDel="00000000" w:rsidR="00000000" w:rsidRPr="00000000">
        <w:rPr>
          <w:rFonts w:ascii="Arial" w:cs="Arial" w:eastAsia="Arial" w:hAnsi="Arial"/>
          <w:rtl w:val="0"/>
        </w:rPr>
        <w:t xml:space="preserve">Approval Signatures:</w:t>
      </w:r>
    </w:p>
    <w:p w:rsidR="00000000" w:rsidDel="00000000" w:rsidP="00000000" w:rsidRDefault="00000000" w:rsidRPr="00000000" w14:paraId="0000016D">
      <w:pPr>
        <w:spacing w:after="200" w:lineRule="auto"/>
        <w:rPr>
          <w:rFonts w:ascii="Arial" w:cs="Arial" w:eastAsia="Arial" w:hAnsi="Arial"/>
        </w:rPr>
      </w:pPr>
      <w:r w:rsidDel="00000000" w:rsidR="00000000" w:rsidRPr="00000000">
        <w:rPr>
          <w:rFonts w:ascii="Arial" w:cs="Arial" w:eastAsia="Arial" w:hAnsi="Arial"/>
          <w:rtl w:val="0"/>
        </w:rPr>
        <w:t xml:space="preserve">________________________  Date: _________</w:t>
      </w:r>
    </w:p>
    <w:p w:rsidR="00000000" w:rsidDel="00000000" w:rsidP="00000000" w:rsidRDefault="00000000" w:rsidRPr="00000000" w14:paraId="0000016E">
      <w:pPr>
        <w:spacing w:after="200" w:lineRule="auto"/>
        <w:rPr>
          <w:rFonts w:ascii="Arial" w:cs="Arial" w:eastAsia="Arial" w:hAnsi="Arial"/>
        </w:rPr>
      </w:pPr>
      <w:r w:rsidDel="00000000" w:rsidR="00000000" w:rsidRPr="00000000">
        <w:rPr>
          <w:rFonts w:ascii="Arial" w:cs="Arial" w:eastAsia="Arial" w:hAnsi="Arial"/>
          <w:rtl w:val="0"/>
        </w:rPr>
        <w:t xml:space="preserve">Chief Technology Officer</w:t>
      </w:r>
    </w:p>
    <w:p w:rsidR="00000000" w:rsidDel="00000000" w:rsidP="00000000" w:rsidRDefault="00000000" w:rsidRPr="00000000" w14:paraId="0000016F">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after="200" w:lineRule="auto"/>
        <w:rPr>
          <w:rFonts w:ascii="Arial" w:cs="Arial" w:eastAsia="Arial" w:hAnsi="Arial"/>
        </w:rPr>
      </w:pPr>
      <w:r w:rsidDel="00000000" w:rsidR="00000000" w:rsidRPr="00000000">
        <w:rPr>
          <w:rFonts w:ascii="Arial" w:cs="Arial" w:eastAsia="Arial" w:hAnsi="Arial"/>
          <w:rtl w:val="0"/>
        </w:rPr>
        <w:t xml:space="preserve">________________________  Date: _________</w:t>
      </w:r>
    </w:p>
    <w:p w:rsidR="00000000" w:rsidDel="00000000" w:rsidP="00000000" w:rsidRDefault="00000000" w:rsidRPr="00000000" w14:paraId="00000171">
      <w:pPr>
        <w:spacing w:after="200" w:lineRule="auto"/>
        <w:rPr>
          <w:rFonts w:ascii="Arial" w:cs="Arial" w:eastAsia="Arial" w:hAnsi="Arial"/>
        </w:rPr>
      </w:pPr>
      <w:r w:rsidDel="00000000" w:rsidR="00000000" w:rsidRPr="00000000">
        <w:rPr>
          <w:rFonts w:ascii="Arial" w:cs="Arial" w:eastAsia="Arial" w:hAnsi="Arial"/>
          <w:rtl w:val="0"/>
        </w:rPr>
        <w:t xml:space="preserve">VP Cloud Engineering</w:t>
      </w:r>
    </w:p>
    <w:p w:rsidR="00000000" w:rsidDel="00000000" w:rsidP="00000000" w:rsidRDefault="00000000" w:rsidRPr="00000000" w14:paraId="00000172">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73">
      <w:pPr>
        <w:spacing w:after="200" w:lineRule="auto"/>
        <w:rPr>
          <w:rFonts w:ascii="Arial" w:cs="Arial" w:eastAsia="Arial" w:hAnsi="Arial"/>
        </w:rPr>
      </w:pPr>
      <w:r w:rsidDel="00000000" w:rsidR="00000000" w:rsidRPr="00000000">
        <w:rPr>
          <w:rFonts w:ascii="Arial" w:cs="Arial" w:eastAsia="Arial" w:hAnsi="Arial"/>
          <w:rtl w:val="0"/>
        </w:rPr>
        <w:t xml:space="preserve">--- END OF DOCUMENT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4e7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foq.com/articles/cap-twelve-years-later-how-the-rules-have-changed/" TargetMode="External"/><Relationship Id="rId11" Type="http://schemas.openxmlformats.org/officeDocument/2006/relationships/hyperlink" Target="https://status.cloud.google.com/incidents/Nm7HSYZu9RqCY2HXRQQf" TargetMode="External"/><Relationship Id="rId10" Type="http://schemas.openxmlformats.org/officeDocument/2006/relationships/hyperlink" Target="https://status.azure.com" TargetMode="External"/><Relationship Id="rId21" Type="http://schemas.openxmlformats.org/officeDocument/2006/relationships/hyperlink" Target="https://martinfowler.com/articles/patterns-of-distributed-systems/" TargetMode="External"/><Relationship Id="rId13" Type="http://schemas.openxmlformats.org/officeDocument/2006/relationships/hyperlink" Target="https://docs.aws.amazon.com/wellarchitected/latest/reliability-pillar/" TargetMode="External"/><Relationship Id="rId12" Type="http://schemas.openxmlformats.org/officeDocument/2006/relationships/hyperlink" Target="https://apnews.com/article/18ad53dca0385a83ca5a4e219bcb3a9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tus.azure.com" TargetMode="External"/><Relationship Id="rId15" Type="http://schemas.openxmlformats.org/officeDocument/2006/relationships/hyperlink" Target="https://sre.google/sre-book/" TargetMode="External"/><Relationship Id="rId14" Type="http://schemas.openxmlformats.org/officeDocument/2006/relationships/hyperlink" Target="https://learn.microsoft.com/en-us/azure/architecture/" TargetMode="External"/><Relationship Id="rId17" Type="http://schemas.openxmlformats.org/officeDocument/2006/relationships/hyperlink" Target="https://eur-lex.europa.eu/eli/reg/2022/2554/oj" TargetMode="External"/><Relationship Id="rId16" Type="http://schemas.openxmlformats.org/officeDocument/2006/relationships/hyperlink" Target="https://csrc.nist.gov/publications/detail/sp/800-34/rev-1/final" TargetMode="External"/><Relationship Id="rId5" Type="http://schemas.openxmlformats.org/officeDocument/2006/relationships/styles" Target="styles.xml"/><Relationship Id="rId19" Type="http://schemas.openxmlformats.org/officeDocument/2006/relationships/hyperlink" Target="https://netflixtechblog.com/the-netflix-simian-army-16e57fbab116" TargetMode="External"/><Relationship Id="rId6" Type="http://schemas.openxmlformats.org/officeDocument/2006/relationships/customXml" Target="../customXML/item1.xml"/><Relationship Id="rId18" Type="http://schemas.openxmlformats.org/officeDocument/2006/relationships/hyperlink" Target="https://www.eba.europa.eu/" TargetMode="External"/><Relationship Id="rId7" Type="http://schemas.openxmlformats.org/officeDocument/2006/relationships/hyperlink" Target="https://www.forbes.com/sites/kateoflahertyuk/2025/10/23/aws-outage-new-analysis-explains-what-went-wrong-and-why/" TargetMode="External"/><Relationship Id="rId8" Type="http://schemas.openxmlformats.org/officeDocument/2006/relationships/hyperlink" Target="https://www.theguardian.com/technology/2025/oct/24/amazon-reveals-cause-of-aws-out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ls3waRJUX9SfaFG8QOiEw6fBA==">CgMxLjAaJAoBMBIfCh0IB0IZCgVBcmlhbBIQQXJpYWwgVW5pY29kZSBNUzIOaC44cW9pMDJpbGZyMWM4AHIhMWUyRUVUM25DdkdHR3lkY0JTUTVTclFwdndvZGR6dVlo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2026-02-12T23:14:18.124Z</dcterms:created>
  <dc:creator>Un-named</dc:creator>
</cp:coreProperties>
</file>

<file path=docProps/custom.xml><?xml version="1.0" encoding="utf-8"?>
<Properties xmlns="http://schemas.openxmlformats.org/officeDocument/2006/custom-properties" xmlns:vt="http://schemas.openxmlformats.org/officeDocument/2006/docPropsVTypes"/>
</file>