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F4185" w14:textId="2692D722" w:rsidR="004B624A" w:rsidRDefault="004B624A" w:rsidP="004B624A">
      <w:pPr>
        <w:pStyle w:val="Ttulo1"/>
        <w:jc w:val="center"/>
      </w:pPr>
      <w:r>
        <w:t xml:space="preserve">GUÍA </w:t>
      </w:r>
      <w:r>
        <w:t>UNIDAD 2</w:t>
      </w:r>
    </w:p>
    <w:p w14:paraId="51497EBC" w14:textId="77777777" w:rsidR="004B624A" w:rsidRDefault="004B624A" w:rsidP="004B624A">
      <w:pPr>
        <w:pStyle w:val="Ttulo1"/>
        <w:jc w:val="center"/>
      </w:pPr>
    </w:p>
    <w:p w14:paraId="1B2C4338" w14:textId="1C693020" w:rsidR="004B624A" w:rsidRPr="004B624A" w:rsidRDefault="004B624A" w:rsidP="004B624A">
      <w:pPr>
        <w:pStyle w:val="Ttulo4"/>
        <w:jc w:val="center"/>
        <w:rPr>
          <w:sz w:val="24"/>
          <w:szCs w:val="24"/>
        </w:rPr>
      </w:pPr>
      <w:r w:rsidRPr="004B624A">
        <w:rPr>
          <w:sz w:val="24"/>
          <w:szCs w:val="24"/>
        </w:rPr>
        <w:t>FRAMEWORKS BACKEND PARA ALTA</w:t>
      </w:r>
      <w:r w:rsidRPr="004B624A">
        <w:rPr>
          <w:sz w:val="24"/>
          <w:szCs w:val="24"/>
        </w:rPr>
        <w:t xml:space="preserve"> </w:t>
      </w:r>
      <w:r w:rsidRPr="004B624A">
        <w:rPr>
          <w:sz w:val="24"/>
          <w:szCs w:val="24"/>
        </w:rPr>
        <w:t>TRANSACCIONALIDAD (ENTORNOS</w:t>
      </w:r>
      <w:r w:rsidRPr="004B624A">
        <w:rPr>
          <w:sz w:val="24"/>
          <w:szCs w:val="24"/>
        </w:rPr>
        <w:t xml:space="preserve"> </w:t>
      </w:r>
      <w:r w:rsidRPr="004B624A">
        <w:rPr>
          <w:sz w:val="24"/>
          <w:szCs w:val="24"/>
        </w:rPr>
        <w:t>BANCARIOS)</w:t>
      </w:r>
    </w:p>
    <w:p w14:paraId="17A76FBA" w14:textId="77777777" w:rsidR="004B624A" w:rsidRDefault="004B624A" w:rsidP="004B624A">
      <w:pPr>
        <w:spacing w:after="120"/>
        <w:rPr>
          <w:rFonts w:ascii="Roboto-Regular" w:hAnsi="Roboto-Regular" w:cs="Roboto-Regular"/>
          <w:sz w:val="18"/>
          <w:szCs w:val="18"/>
        </w:rPr>
      </w:pPr>
    </w:p>
    <w:p w14:paraId="3D64720F" w14:textId="0C1B8AC5" w:rsidR="009C32C4" w:rsidRDefault="007D4826" w:rsidP="004B624A">
      <w:pPr>
        <w:spacing w:after="120"/>
      </w:pPr>
      <w:r>
        <w:t xml:space="preserve">Tomando como base </w:t>
      </w:r>
      <w:r w:rsidR="004B624A">
        <w:t>el</w:t>
      </w:r>
      <w:r>
        <w:t xml:space="preserve"> proyecto </w:t>
      </w:r>
      <w:proofErr w:type="spellStart"/>
      <w:r>
        <w:rPr>
          <w:b/>
          <w:bCs/>
        </w:rPr>
        <w:t>MultiCatálogo</w:t>
      </w:r>
      <w:proofErr w:type="spellEnd"/>
      <w:r>
        <w:t xml:space="preserve"> (donde el frontend en React ya está listo y el backend en </w:t>
      </w:r>
      <w:proofErr w:type="spellStart"/>
      <w:r>
        <w:t>Go</w:t>
      </w:r>
      <w:proofErr w:type="spellEnd"/>
      <w:r>
        <w:t xml:space="preserve"> actualmente responde con datos estáticos en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repository.go</w:t>
      </w:r>
      <w:proofErr w:type="spellEnd"/>
      <w:proofErr w:type="gramEnd"/>
      <w:r>
        <w:t xml:space="preserve">), </w:t>
      </w:r>
      <w:r w:rsidR="004B624A">
        <w:t xml:space="preserve">vamos a </w:t>
      </w:r>
      <w:r>
        <w:t>darle vida al sistema.</w:t>
      </w:r>
    </w:p>
    <w:p w14:paraId="15E74FDA" w14:textId="29AAC8F4" w:rsidR="009C32C4" w:rsidRDefault="007D4826" w:rsidP="004B624A">
      <w:pPr>
        <w:spacing w:after="200"/>
      </w:pPr>
      <w:r>
        <w:t xml:space="preserve">Dado que el objetivo exclusivo de esta unidad es la </w:t>
      </w:r>
      <w:r>
        <w:rPr>
          <w:b/>
          <w:bCs/>
        </w:rPr>
        <w:t>alta transaccionalidad y el rendimiento backend</w:t>
      </w:r>
      <w:r>
        <w:t>, utilizaremos el frontend existente como el "monitor" visual de los avances.</w:t>
      </w:r>
    </w:p>
    <w:p w14:paraId="5BA0439E" w14:textId="17EC0166" w:rsidR="009C32C4" w:rsidRDefault="009C32C4">
      <w:pPr>
        <w:spacing w:after="200"/>
      </w:pPr>
    </w:p>
    <w:p w14:paraId="2E4EEA4D" w14:textId="77777777" w:rsidR="009C32C4" w:rsidRDefault="007D4826">
      <w:pPr>
        <w:spacing w:after="120"/>
      </w:pPr>
      <w:r>
        <w:rPr>
          <w:b/>
          <w:bCs/>
        </w:rPr>
        <w:t>Fase 1: Reestructuración y API Robusta (Tema 2)</w:t>
      </w:r>
    </w:p>
    <w:p w14:paraId="469FAC2A" w14:textId="77777777" w:rsidR="009C32C4" w:rsidRDefault="007D4826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Requerimientos:</w:t>
      </w:r>
      <w:r>
        <w:t xml:space="preserve"> Refactorizar el código base actual de </w:t>
      </w:r>
      <w:proofErr w:type="spellStart"/>
      <w:r>
        <w:t>Go</w:t>
      </w:r>
      <w:proofErr w:type="spellEnd"/>
      <w:r>
        <w:t>/</w:t>
      </w:r>
      <w:proofErr w:type="spellStart"/>
      <w:r>
        <w:t>Fiber</w:t>
      </w:r>
      <w:proofErr w:type="spellEnd"/>
      <w:r>
        <w:t xml:space="preserve"> para implementar u</w:t>
      </w:r>
      <w:r>
        <w:t xml:space="preserve">na arquitectura limpia (separando claramente enrutadores, controladores y repositorios). Mejorar los </w:t>
      </w:r>
      <w:proofErr w:type="spellStart"/>
      <w:r>
        <w:t>endpoints</w:t>
      </w:r>
      <w:proofErr w:type="spellEnd"/>
      <w:r>
        <w:t xml:space="preserve"> existentes (</w:t>
      </w:r>
      <w:r>
        <w:rPr>
          <w:rFonts w:ascii="Courier New" w:eastAsia="Courier New" w:hAnsi="Courier New" w:cs="Courier New"/>
          <w:shd w:val="clear" w:color="auto" w:fill="F1F5F9"/>
        </w:rPr>
        <w:t>/api/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login</w:t>
      </w:r>
      <w:proofErr w:type="spellEnd"/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/api/productos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/api/red</w:t>
      </w:r>
      <w:r>
        <w:t>) aplicando validaciones de entrada, tipado estricto y un manejo de errores HTTP estandarizado (e</w:t>
      </w:r>
      <w:r>
        <w:t>j. estructuras JSON de error).</w:t>
      </w:r>
    </w:p>
    <w:p w14:paraId="769CAB6F" w14:textId="77777777" w:rsidR="009C32C4" w:rsidRDefault="007D4826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Avance visible en pantalla:</w:t>
      </w:r>
      <w:r>
        <w:t xml:space="preserve"> Al intentar realizar un </w:t>
      </w:r>
      <w:proofErr w:type="spellStart"/>
      <w:r>
        <w:t>login</w:t>
      </w:r>
      <w:proofErr w:type="spellEnd"/>
      <w:r>
        <w:t xml:space="preserve"> con credenciales erróneas en el componente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Login.tsx</w:t>
      </w:r>
      <w:proofErr w:type="spellEnd"/>
      <w:r>
        <w:t xml:space="preserve"> o buscar un producto inexistente en </w:t>
      </w:r>
      <w:r>
        <w:rPr>
          <w:rFonts w:ascii="Courier New" w:eastAsia="Courier New" w:hAnsi="Courier New" w:cs="Courier New"/>
          <w:shd w:val="clear" w:color="auto" w:fill="F1F5F9"/>
        </w:rPr>
        <w:t>/producto/:id</w:t>
      </w:r>
      <w:r>
        <w:t xml:space="preserve">, el frontend ahora muestra alertas precisas capturadas desde la </w:t>
      </w:r>
      <w:r>
        <w:t>nueva respuesta estandarizada de la API, en lugar de fallar silenciosamente.</w:t>
      </w:r>
    </w:p>
    <w:p w14:paraId="7369BBE7" w14:textId="77777777" w:rsidR="009C32C4" w:rsidRDefault="007D4826">
      <w:pPr>
        <w:spacing w:after="200"/>
      </w:pPr>
      <w:r>
        <w:t xml:space="preserve"> </w:t>
      </w:r>
    </w:p>
    <w:p w14:paraId="155BDBE7" w14:textId="77777777" w:rsidR="009C32C4" w:rsidRDefault="007D4826">
      <w:pPr>
        <w:spacing w:after="120"/>
      </w:pPr>
      <w:r>
        <w:rPr>
          <w:b/>
          <w:bCs/>
        </w:rPr>
        <w:t>Fase 2: Persistencia Relacional Segura (Tema 3)</w:t>
      </w:r>
    </w:p>
    <w:p w14:paraId="7E7BF934" w14:textId="77777777" w:rsidR="009C32C4" w:rsidRDefault="007D4826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Requerimientos:</w:t>
      </w:r>
      <w:r>
        <w:t xml:space="preserve"> Eliminar los arreglos de variables en memoria (</w:t>
      </w:r>
      <w:r>
        <w:rPr>
          <w:rFonts w:ascii="Courier New" w:eastAsia="Courier New" w:hAnsi="Courier New" w:cs="Courier New"/>
          <w:shd w:val="clear" w:color="auto" w:fill="F1F5F9"/>
        </w:rPr>
        <w:t>usuarios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productos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red</w:t>
      </w:r>
      <w:r>
        <w:t xml:space="preserve">) dentro de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repository.go</w:t>
      </w:r>
      <w:proofErr w:type="spellEnd"/>
      <w:r>
        <w:t>. Diseñar e</w:t>
      </w:r>
      <w:r>
        <w:t xml:space="preserve"> integrar una base de datos relacional PostgreSQL para almacenar el catálogo y la jerarquía de usuarios.</w:t>
      </w:r>
    </w:p>
    <w:p w14:paraId="75142A36" w14:textId="77777777" w:rsidR="009C32C4" w:rsidRDefault="007D4826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Avance visible en pantalla:</w:t>
      </w:r>
      <w:r>
        <w:t xml:space="preserve"> Al agregar un nuevo producto directamente en la base de datos (vía script SQL o </w:t>
      </w:r>
      <w:proofErr w:type="spellStart"/>
      <w:r>
        <w:t>DBeaver</w:t>
      </w:r>
      <w:proofErr w:type="spellEnd"/>
      <w:r>
        <w:t xml:space="preserve">), el estudiante recarga la ruta </w:t>
      </w:r>
      <w:r>
        <w:rPr>
          <w:rFonts w:ascii="Courier New" w:eastAsia="Courier New" w:hAnsi="Courier New" w:cs="Courier New"/>
          <w:shd w:val="clear" w:color="auto" w:fill="F1F5F9"/>
        </w:rPr>
        <w:t>/ti</w:t>
      </w:r>
      <w:r>
        <w:rPr>
          <w:rFonts w:ascii="Courier New" w:eastAsia="Courier New" w:hAnsi="Courier New" w:cs="Courier New"/>
          <w:shd w:val="clear" w:color="auto" w:fill="F1F5F9"/>
        </w:rPr>
        <w:t>enda</w:t>
      </w:r>
      <w:r>
        <w:t xml:space="preserve"> en React y ve aparecer el nuevo ítem instantáneamente. Si se detiene y reinicia el servidor </w:t>
      </w:r>
      <w:proofErr w:type="spellStart"/>
      <w:r>
        <w:t>Go</w:t>
      </w:r>
      <w:proofErr w:type="spellEnd"/>
      <w:r>
        <w:t>, los datos ya no se reinician, demostrando la persistencia real.</w:t>
      </w:r>
    </w:p>
    <w:p w14:paraId="76BA52B8" w14:textId="53FE67D7" w:rsidR="009C32C4" w:rsidRDefault="009C32C4">
      <w:pPr>
        <w:spacing w:after="200"/>
      </w:pPr>
    </w:p>
    <w:p w14:paraId="6504618A" w14:textId="77777777" w:rsidR="009C32C4" w:rsidRDefault="007D4826">
      <w:pPr>
        <w:spacing w:after="120"/>
      </w:pPr>
      <w:r>
        <w:rPr>
          <w:b/>
          <w:bCs/>
        </w:rPr>
        <w:t>Fase 3: Almacenamiento en Caché (Tema 3)</w:t>
      </w:r>
    </w:p>
    <w:p w14:paraId="5F6B289B" w14:textId="77777777" w:rsidR="009C32C4" w:rsidRDefault="007D4826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Requerimientos:</w:t>
      </w:r>
      <w:r>
        <w:t xml:space="preserve"> El cálculo recursivo del </w:t>
      </w:r>
      <w:proofErr w:type="spellStart"/>
      <w:r>
        <w:t>e</w:t>
      </w:r>
      <w:r>
        <w:t>ndpoint</w:t>
      </w:r>
      <w:proofErr w:type="spellEnd"/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/api/red</w:t>
      </w:r>
      <w:r>
        <w:t xml:space="preserve"> es una operación costosa para la base de datos. Implementar Redis como sistema de almacenamiento en caché para optimizar la lectura repetitiva de la jerarquía multinivel y del catálogo de productos.</w:t>
      </w:r>
    </w:p>
    <w:p w14:paraId="2D01A30B" w14:textId="77777777" w:rsidR="009C32C4" w:rsidRDefault="007D4826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Avance visible en pantalla:</w:t>
      </w:r>
      <w:r>
        <w:t xml:space="preserve"> Al ingresar </w:t>
      </w:r>
      <w:r>
        <w:t xml:space="preserve">a la vista </w:t>
      </w:r>
      <w:r>
        <w:rPr>
          <w:rFonts w:ascii="Courier New" w:eastAsia="Courier New" w:hAnsi="Courier New" w:cs="Courier New"/>
          <w:shd w:val="clear" w:color="auto" w:fill="F1F5F9"/>
        </w:rPr>
        <w:t>/mi-red</w:t>
      </w:r>
      <w:r>
        <w:t xml:space="preserve"> (</w:t>
      </w:r>
      <w:proofErr w:type="spellStart"/>
      <w:r>
        <w:t>Dashboard</w:t>
      </w:r>
      <w:proofErr w:type="spellEnd"/>
      <w:r>
        <w:t xml:space="preserve"> del administrador), el estudiante abrirá la pestaña </w:t>
      </w:r>
      <w:r>
        <w:rPr>
          <w:i/>
          <w:iCs/>
        </w:rPr>
        <w:t>Network</w:t>
      </w:r>
      <w:r>
        <w:t xml:space="preserve"> de las herramientas de desarrollador del navegador. Observará que la primera petición tarda (ej. 150ms al consultar PostgreSQL), pero al recargar la página, el tiempo</w:t>
      </w:r>
      <w:r>
        <w:t xml:space="preserve"> de latencia se desploma a &lt; 10ms gracias a Redis.</w:t>
      </w:r>
    </w:p>
    <w:p w14:paraId="32D8A394" w14:textId="77777777" w:rsidR="009C32C4" w:rsidRDefault="007D4826">
      <w:pPr>
        <w:spacing w:after="200"/>
      </w:pPr>
      <w:r>
        <w:t xml:space="preserve"> </w:t>
      </w:r>
    </w:p>
    <w:p w14:paraId="3C0842A7" w14:textId="77777777" w:rsidR="009C32C4" w:rsidRDefault="007D4826">
      <w:pPr>
        <w:spacing w:after="200"/>
      </w:pPr>
      <w:r>
        <w:lastRenderedPageBreak/>
        <w:t xml:space="preserve"> </w:t>
      </w:r>
    </w:p>
    <w:p w14:paraId="23F1CB00" w14:textId="77777777" w:rsidR="009C32C4" w:rsidRDefault="007D4826">
      <w:pPr>
        <w:spacing w:after="200"/>
      </w:pPr>
      <w:r>
        <w:t xml:space="preserve"> </w:t>
      </w:r>
    </w:p>
    <w:p w14:paraId="03197795" w14:textId="5B73AB43" w:rsidR="009C32C4" w:rsidRDefault="007D4826" w:rsidP="004B624A">
      <w:pPr>
        <w:spacing w:after="120"/>
      </w:pPr>
      <w:r>
        <w:rPr>
          <w:b/>
          <w:bCs/>
        </w:rPr>
        <w:t>Fase 4: Motor Transaccional y Concurrencia (Temas 1 y 4)</w:t>
      </w:r>
      <w:r>
        <w:t xml:space="preserve"> </w:t>
      </w:r>
    </w:p>
    <w:p w14:paraId="030D362C" w14:textId="77777777" w:rsidR="009C32C4" w:rsidRDefault="007D4826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Requerimientos:</w:t>
      </w:r>
      <w:r>
        <w:t xml:space="preserve"> Aplicar patrones de inyección de dependencias para construir un nuevo </w:t>
      </w:r>
      <w:proofErr w:type="spellStart"/>
      <w:r>
        <w:t>endpoint</w:t>
      </w:r>
      <w:proofErr w:type="spellEnd"/>
      <w:r>
        <w:t xml:space="preserve"> seguro: </w:t>
      </w:r>
      <w:r>
        <w:rPr>
          <w:rFonts w:ascii="Courier New" w:eastAsia="Courier New" w:hAnsi="Courier New" w:cs="Courier New"/>
          <w:shd w:val="clear" w:color="auto" w:fill="F1F5F9"/>
        </w:rPr>
        <w:t>POST /api/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checkout</w:t>
      </w:r>
      <w:proofErr w:type="spellEnd"/>
      <w:r>
        <w:t xml:space="preserve">. Este microservicio procesará la compra generada en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Checkout.tsx</w:t>
      </w:r>
      <w:proofErr w:type="spellEnd"/>
      <w:r>
        <w:t xml:space="preserve">, garantizando propiedades ACID. Si la compra es exitosa, usará </w:t>
      </w:r>
      <w:proofErr w:type="spellStart"/>
      <w:r>
        <w:rPr>
          <w:i/>
          <w:iCs/>
        </w:rPr>
        <w:t>Goroutines</w:t>
      </w:r>
      <w:proofErr w:type="spellEnd"/>
      <w:r>
        <w:t xml:space="preserve"> (concurren</w:t>
      </w:r>
      <w:r>
        <w:t xml:space="preserve">cia y manejo de memoria en </w:t>
      </w:r>
      <w:proofErr w:type="spellStart"/>
      <w:r>
        <w:t>Go</w:t>
      </w:r>
      <w:proofErr w:type="spellEnd"/>
      <w:r>
        <w:t>) para calcular y registrar en paralelo las comisiones hacia arriba en el árbol de referidos (10%, 5%, 2%).</w:t>
      </w:r>
    </w:p>
    <w:p w14:paraId="2CE3DB74" w14:textId="77777777" w:rsidR="009C32C4" w:rsidRDefault="007D4826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A</w:t>
      </w:r>
      <w:r>
        <w:rPr>
          <w:b/>
          <w:bCs/>
        </w:rPr>
        <w:t>vance visible en pantalla:</w:t>
      </w:r>
      <w:r>
        <w:t xml:space="preserve"> Se realiza un flujo de compra completo en el frontend. Inmediatamente después de ver la pan</w:t>
      </w:r>
      <w:r>
        <w:t xml:space="preserve">talla de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Confirmacion.tsx</w:t>
      </w:r>
      <w:proofErr w:type="spellEnd"/>
      <w:r>
        <w:t xml:space="preserve">, el usuario navega a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Dashboard.tsx</w:t>
      </w:r>
      <w:proofErr w:type="spellEnd"/>
      <w:r>
        <w:t xml:space="preserve">. En la pantalla se visualizará cómo el KPI de "Comisiones del Mes" se actualiza automáticamente. Si se simula una falla (ej. sin stock), la transacción de base de datos hace </w:t>
      </w:r>
      <w:proofErr w:type="spellStart"/>
      <w:r>
        <w:rPr>
          <w:i/>
          <w:iCs/>
        </w:rPr>
        <w:t>rollback</w:t>
      </w:r>
      <w:proofErr w:type="spellEnd"/>
      <w:r>
        <w:t xml:space="preserve"> automático y</w:t>
      </w:r>
      <w:r>
        <w:t xml:space="preserve"> el frontend muestra el error, evitando que se paguen comisiones de una venta fallida.</w:t>
      </w:r>
    </w:p>
    <w:p w14:paraId="3C66B4B9" w14:textId="77777777" w:rsidR="009C32C4" w:rsidRDefault="007D4826">
      <w:pPr>
        <w:spacing w:after="200"/>
      </w:pPr>
      <w:r>
        <w:t xml:space="preserve"> </w:t>
      </w:r>
    </w:p>
    <w:sectPr w:rsidR="009C32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16087D"/>
    <w:multiLevelType w:val="hybridMultilevel"/>
    <w:tmpl w:val="A65CA696"/>
    <w:lvl w:ilvl="0" w:tplc="6C4E6942">
      <w:start w:val="1"/>
      <w:numFmt w:val="bullet"/>
      <w:suff w:val="space"/>
      <w:lvlText w:val="●"/>
      <w:lvlJc w:val="left"/>
      <w:pPr>
        <w:ind w:left="240" w:hanging="180"/>
      </w:pPr>
    </w:lvl>
    <w:lvl w:ilvl="1" w:tplc="94CCF886">
      <w:start w:val="1"/>
      <w:numFmt w:val="bullet"/>
      <w:suff w:val="space"/>
      <w:lvlText w:val="○"/>
      <w:lvlJc w:val="left"/>
      <w:pPr>
        <w:ind w:left="660" w:hanging="180"/>
      </w:pPr>
    </w:lvl>
    <w:lvl w:ilvl="2" w:tplc="DA1E4EE4">
      <w:start w:val="1"/>
      <w:numFmt w:val="bullet"/>
      <w:suff w:val="space"/>
      <w:lvlText w:val="■"/>
      <w:lvlJc w:val="left"/>
      <w:pPr>
        <w:ind w:left="1080" w:hanging="180"/>
      </w:pPr>
    </w:lvl>
    <w:lvl w:ilvl="3" w:tplc="D942798E">
      <w:start w:val="1"/>
      <w:numFmt w:val="bullet"/>
      <w:suff w:val="space"/>
      <w:lvlText w:val="●"/>
      <w:lvlJc w:val="left"/>
      <w:pPr>
        <w:ind w:left="1500" w:hanging="180"/>
      </w:pPr>
    </w:lvl>
    <w:lvl w:ilvl="4" w:tplc="D09A556A">
      <w:start w:val="1"/>
      <w:numFmt w:val="bullet"/>
      <w:suff w:val="space"/>
      <w:lvlText w:val="○"/>
      <w:lvlJc w:val="left"/>
      <w:pPr>
        <w:ind w:left="1920" w:hanging="180"/>
      </w:pPr>
    </w:lvl>
    <w:lvl w:ilvl="5" w:tplc="51AC94E8">
      <w:start w:val="1"/>
      <w:numFmt w:val="bullet"/>
      <w:suff w:val="space"/>
      <w:lvlText w:val="■"/>
      <w:lvlJc w:val="left"/>
      <w:pPr>
        <w:ind w:left="2340" w:hanging="180"/>
      </w:pPr>
    </w:lvl>
    <w:lvl w:ilvl="6" w:tplc="2F16ACC2">
      <w:start w:val="1"/>
      <w:numFmt w:val="bullet"/>
      <w:suff w:val="space"/>
      <w:lvlText w:val="●"/>
      <w:lvlJc w:val="left"/>
      <w:pPr>
        <w:ind w:left="2760" w:hanging="180"/>
      </w:pPr>
    </w:lvl>
    <w:lvl w:ilvl="7" w:tplc="077A3E98">
      <w:start w:val="1"/>
      <w:numFmt w:val="bullet"/>
      <w:suff w:val="space"/>
      <w:lvlText w:val="○"/>
      <w:lvlJc w:val="left"/>
      <w:pPr>
        <w:ind w:left="3180" w:hanging="180"/>
      </w:pPr>
    </w:lvl>
    <w:lvl w:ilvl="8" w:tplc="A748FC2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6F0867E0"/>
    <w:multiLevelType w:val="hybridMultilevel"/>
    <w:tmpl w:val="A33E2E86"/>
    <w:lvl w:ilvl="0" w:tplc="2BBC4284">
      <w:start w:val="1"/>
      <w:numFmt w:val="bullet"/>
      <w:lvlText w:val="●"/>
      <w:lvlJc w:val="left"/>
      <w:pPr>
        <w:ind w:left="720" w:hanging="360"/>
      </w:pPr>
    </w:lvl>
    <w:lvl w:ilvl="1" w:tplc="3B3CE0B2">
      <w:start w:val="1"/>
      <w:numFmt w:val="bullet"/>
      <w:lvlText w:val="○"/>
      <w:lvlJc w:val="left"/>
      <w:pPr>
        <w:ind w:left="1440" w:hanging="360"/>
      </w:pPr>
    </w:lvl>
    <w:lvl w:ilvl="2" w:tplc="AD50699A">
      <w:start w:val="1"/>
      <w:numFmt w:val="bullet"/>
      <w:lvlText w:val="■"/>
      <w:lvlJc w:val="left"/>
      <w:pPr>
        <w:ind w:left="2160" w:hanging="360"/>
      </w:pPr>
    </w:lvl>
    <w:lvl w:ilvl="3" w:tplc="C646EDFC">
      <w:start w:val="1"/>
      <w:numFmt w:val="bullet"/>
      <w:lvlText w:val="●"/>
      <w:lvlJc w:val="left"/>
      <w:pPr>
        <w:ind w:left="2880" w:hanging="360"/>
      </w:pPr>
    </w:lvl>
    <w:lvl w:ilvl="4" w:tplc="61AEE5CE">
      <w:start w:val="1"/>
      <w:numFmt w:val="bullet"/>
      <w:lvlText w:val="○"/>
      <w:lvlJc w:val="left"/>
      <w:pPr>
        <w:ind w:left="3600" w:hanging="360"/>
      </w:pPr>
    </w:lvl>
    <w:lvl w:ilvl="5" w:tplc="8CA4D9F6">
      <w:start w:val="1"/>
      <w:numFmt w:val="bullet"/>
      <w:lvlText w:val="■"/>
      <w:lvlJc w:val="left"/>
      <w:pPr>
        <w:ind w:left="4320" w:hanging="360"/>
      </w:pPr>
    </w:lvl>
    <w:lvl w:ilvl="6" w:tplc="4C8E6674">
      <w:start w:val="1"/>
      <w:numFmt w:val="bullet"/>
      <w:lvlText w:val="●"/>
      <w:lvlJc w:val="left"/>
      <w:pPr>
        <w:ind w:left="5040" w:hanging="360"/>
      </w:pPr>
    </w:lvl>
    <w:lvl w:ilvl="7" w:tplc="E280D514">
      <w:start w:val="1"/>
      <w:numFmt w:val="bullet"/>
      <w:lvlText w:val="●"/>
      <w:lvlJc w:val="left"/>
      <w:pPr>
        <w:ind w:left="5760" w:hanging="360"/>
      </w:pPr>
    </w:lvl>
    <w:lvl w:ilvl="8" w:tplc="F1B2F7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2C4"/>
    <w:rsid w:val="004B624A"/>
    <w:rsid w:val="007D4826"/>
    <w:rsid w:val="009C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8079A"/>
  <w15:docId w15:val="{85821E99-E20D-4D47-9B4B-3B3E3B5A8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Ttulo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515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Muñoz M.</cp:lastModifiedBy>
  <cp:revision>2</cp:revision>
  <dcterms:created xsi:type="dcterms:W3CDTF">2026-09-30T21:23:00Z</dcterms:created>
  <dcterms:modified xsi:type="dcterms:W3CDTF">2026-09-30T21:40:00Z</dcterms:modified>
</cp:coreProperties>
</file>