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v2.6 — Single-PR plan. Track 3 approved (76 Path C sites migrated). Pattern F (Api-suffix) locked. Path E candidates filed.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complete (126/126 frontend, 436/436 backend tests). Track 4 (Path D migration)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two allowlisted locations are: (a) src/services/api.js — the apiClient request interceptor itself; (b) BookEditor.jsx:181 — the locked CZ-5 keepalive exception (v2.5).</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BookEditor:181 keepalive exception = 6 minimum.</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 76 sites migrated; 8 authHeaders helpers eliminated; 126/126 frontend tests pass). All approved commits backed up at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4 (Path D migration) is next.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 3 (4 sites across 3 files)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Disposition pattern: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2026-05-03T15:02:59.047Z</dcterms:created>
  <dcterms:modified xsi:type="dcterms:W3CDTF">2026-05-03T15:02:59.048Z</dcterms:modified>
</cp:coreProperties>
</file>

<file path=docProps/custom.xml><?xml version="1.0" encoding="utf-8"?>
<Properties xmlns="http://schemas.openxmlformats.org/officeDocument/2006/custom-properties" xmlns:vt="http://schemas.openxmlformats.org/officeDocument/2006/docPropsVTypes"/>
</file>