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v2.5 — Single-PR plan. Track 2 + Track 2.5 approved. Keepalive exception locked. Two new test patterns recorded.</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Step 6a + Step 2 + Track 5 + Tracks 1, 1.5, 1.6, 2 (A+B), 2.5 complete (47/47 frontend, 436/436 backend tests). Track 3 (Path C migration) is next.</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pStyle w:val="Heading3"/>
        <w:spacing w:after="120" w:before="220"/>
      </w:pPr>
      <w:r>
        <w:rPr>
          <w:rFonts w:ascii="Calibri" w:cs="Calibri" w:eastAsia="Calibri" w:hAnsi="Calibri"/>
          <w:b/>
          <w:bCs/>
          <w:color w:val="C9A961"/>
          <w:sz w:val="24"/>
          <w:szCs w:val="24"/>
        </w:rPr>
        <w:t xml:space="preserve">Track 4 — Migrate Path D (inline Bearer) to apiClient</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two allowlisted locations are: (a) src/services/api.js — the apiClient request interceptor itself; (b) BookEditor.jsx:181 — the locked CZ-5 keepalive exception (v2.5).</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(current) to count of intentionally-public reads only (PUBLIC class — currently 5 confirmed, may grow as Track 7 reclassifies UNCLEAR-A) PLUS the BookEditor:181 keepalive exception = 6 minimum.</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IN PROGRESS</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helper migration + 2 small files,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BookEditor migration + authHeader deletion).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47/47 frontend tests pass). All approved commits backed up at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Track 3 (Path C migration) is next.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2026-05-03T12:59:29.316Z</dcterms:created>
  <dcterms:modified xsi:type="dcterms:W3CDTF">2026-05-03T12:59:29.317Z</dcterms:modified>
</cp:coreProperties>
</file>

<file path=docProps/custom.xml><?xml version="1.0" encoding="utf-8"?>
<Properties xmlns="http://schemas.openxmlformats.org/officeDocument/2006/custom-properties" xmlns:vt="http://schemas.openxmlformats.org/officeDocument/2006/docPropsVTypes"/>
</file>