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v2.18 — Single-PR plan. Track 6 CP11 (cleanup-overlap batch — 51 sites across 17 files) approved. 10-data-point pacing. CP11 zone identified (long-tail + heavy duplication, 45-55 sites/session). Mixed PUBLIC+BUG convention locked. Combined-axis branching stacking validated. Pattern G allowlist 3 → 5.</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IN PROGRESS — CP2-CP11 COMPLETE (87460600). 389 sites migrated, ~83% of corrected Track 6 denominator (~469 actual). CP12 (useStoryEngine.js dedicated high-density single)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six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five locked exceptions (BookEditor.jsx:55 keepalive + WriteMode.jsx:980 + WriteMode.jsx:1145 + WriteModeAIWriter.jsx:281 + AppAssistant.jsx:239 streaming) = 10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CP2-CP11 COMPLETE through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389 sites migrated across 62 files; 683/683 frontend tests; ~83% of corrected Track 6 denominator (~469 actual). Pattern G locked: 5 sites.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6 CP12 (useStoryEngine.js dedicated high-density single) is next, fresh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2026-05-06T10:55:20.339Z</dcterms:created>
  <dcterms:modified xsi:type="dcterms:W3CDTF">2026-05-06T10:55:20.340Z</dcterms:modified>
</cp:coreProperties>
</file>

<file path=docProps/custom.xml><?xml version="1.0" encoding="utf-8"?>
<Properties xmlns="http://schemas.openxmlformats.org/officeDocument/2006/custom-properties" xmlns:vt="http://schemas.openxmlformats.org/officeDocument/2006/docPropsVTypes"/>
</file>