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v2.22 — Single-PR plan. TRACK 6 IMPLEMENTATION CLOSURE. CP15 (final CP — 43 sites across 23 files) approved. 15-data-point pacing. 466/469 = 99.4% migrated = 100% of migratable scope. Inventory v2 amendments locked (WorldSetupGuide all-BUG, ProductionOverlaysTab external blob deferred). Partial-migration extension five-data-point. Admin-page Pattern G zero-trigger four-data-point. Helper-reuse density two-data-point. v2.14 internal-helper-refactor five-data-point. Cross-CP ceiling semantics clarified. 14 consecutive zero method-mismatch CPs closes streak. Step 3 backend sweep is next phase.</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IMPLEMENTATION CLOSED</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(38 deferred-by-discipline sites remain). Pattern G locked: 6 sites (UNCHANGED throughout CP12-CP15).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backend sweep is the next phase, fresh kickoff after v2.22 lands on dev.</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2026-05-06T15:38:12.813Z</dcterms:created>
  <dcterms:modified xsi:type="dcterms:W3CDTF">2026-05-06T15:38:12.813Z</dcterms:modified>
</cp:coreProperties>
</file>

<file path=docProps/custom.xml><?xml version="1.0" encoding="utf-8"?>
<Properties xmlns="http://schemas.openxmlformats.org/officeDocument/2006/custom-properties" xmlns:vt="http://schemas.openxmlformats.org/officeDocument/2006/docPropsVTypes"/>
</file>