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v2.23 — Step 3 backend sweep fix plan locked. 11-CP cadence (10 domain CPs + 1 cleanup CP). ~803-handler sweep surface (writes on optionalAuth or no-auth). Step 3 disposition tier matrix (NEW architectural lock): Tier 1 requireAuth (default), Tier 2 requireAuth + authorize(["ADMIN"]) (admin tooling), Tier 3 optionalAuth({degradeOnInfraFailure:true}) (LOCKED PUBLIC with req.user consumption), Tier 4 plain optionalAuth (LOCKED PUBLIC without req.user), Tier 5 env-gated mount (development-only). All 17 planning-phase adjudication items locked. Track 7 timing Option C (hybrid — shared planning + separate execution). F-AUTH-2 lazy-init refactor + F-AUTH-3 9-handler degradeOnInfraFailure migration in CP1. F-AUTH-5 6/6 sites resolved naturally as F-AUTH-1 byproducts. Step 3 estimate ~20-22 sessions across 11 CPs.</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IMPLEMENTATION CLOSED</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(38 deferred-by-discipline sites remain). Pattern G locked: 6 sites (UNCHANGED throughout CP12-CP15).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Step 3 backend sweep planning phase COMPLETE</w:t>
      </w:r>
      <w:r>
        <w:rPr>
          <w:rFonts w:ascii="Calibri" w:cs="Calibri" w:eastAsia="Calibri" w:hAnsi="Calibri"/>
          <w:b w:val="false"/>
          <w:bCs w:val="false"/>
          <w:i w:val="false"/>
          <w:iCs w:val="false"/>
          <w:color w:val="0A0A0A"/>
          <w:sz w:val="22"/>
          <w:szCs w:val="22"/>
        </w:rPr>
        <w:t xml:space="preserve">; v2.23 fix plan locks 11-CP cadence + 5-tier disposition matrix + all 17 adjudication items. Step 3 CP1 (F-AUTH-2 lazy-init + F-AUTH-3 exemption list) kicks off next, fresh session after v2.23 lands on dev.</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2026-05-06T21:20:43.094Z</dcterms:created>
  <dcterms:modified xsi:type="dcterms:W3CDTF">2026-05-06T21:20:43.113Z</dcterms:modified>
</cp:coreProperties>
</file>

<file path=docProps/custom.xml><?xml version="1.0" encoding="utf-8"?>
<Properties xmlns="http://schemas.openxmlformats.org/officeDocument/2006/custom-properties" xmlns:vt="http://schemas.openxmlformats.org/officeDocument/2006/docPropsVTypes"/>
</file>