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5A0" w:rsidRPr="00677481" w:rsidRDefault="008715A0" w:rsidP="008715A0">
      <w:pPr>
        <w:pStyle w:val="Ttulo1"/>
        <w:rPr>
          <w:lang w:val="es-ES"/>
        </w:rPr>
      </w:pPr>
      <w:r w:rsidRPr="00677481">
        <w:rPr>
          <w:lang w:val="es-ES"/>
        </w:rPr>
        <w:t>Definición de dominios de diseño para ENCIET y ENIGHUR</w:t>
      </w:r>
      <w:r>
        <w:rPr>
          <w:lang w:val="es-ES"/>
        </w:rPr>
        <w:t xml:space="preserve"> y sus implicaciones en la construcción del marco de muestreo</w:t>
      </w:r>
    </w:p>
    <w:p w:rsidR="008715A0" w:rsidRDefault="008715A0" w:rsidP="008715A0">
      <w:pPr>
        <w:rPr>
          <w:b/>
          <w:lang w:val="es-ES"/>
        </w:rPr>
      </w:pPr>
    </w:p>
    <w:p w:rsidR="008715A0" w:rsidRDefault="008715A0" w:rsidP="008715A0">
      <w:pPr>
        <w:pStyle w:val="Ttulo2"/>
        <w:rPr>
          <w:lang w:val="es-ES"/>
        </w:rPr>
      </w:pPr>
      <w:r>
        <w:rPr>
          <w:lang w:val="es-ES"/>
        </w:rPr>
        <w:t>Introducción</w:t>
      </w:r>
    </w:p>
    <w:p w:rsidR="008715A0" w:rsidRDefault="008715A0" w:rsidP="008715A0">
      <w:pPr>
        <w:jc w:val="both"/>
        <w:rPr>
          <w:lang w:val="es-ES"/>
        </w:rPr>
      </w:pPr>
      <w:r>
        <w:rPr>
          <w:lang w:val="es-ES"/>
        </w:rPr>
        <w:t xml:space="preserve">En el taller de definiciones para construcción del Marco de Muestreo que se llevó a cabo desde el 6 hasta el 7 de mayo de 2024 se tomaron decisiones para la construcción del Marco muestral y el desarrollo de las diferentes encuestas </w:t>
      </w:r>
      <w:proofErr w:type="spellStart"/>
      <w:r>
        <w:rPr>
          <w:lang w:val="es-ES"/>
        </w:rPr>
        <w:t>intercensales</w:t>
      </w:r>
      <w:proofErr w:type="spellEnd"/>
      <w:r>
        <w:rPr>
          <w:lang w:val="es-ES"/>
        </w:rPr>
        <w:t>.</w:t>
      </w:r>
    </w:p>
    <w:p w:rsidR="008715A0" w:rsidRDefault="008715A0" w:rsidP="008715A0">
      <w:pPr>
        <w:jc w:val="both"/>
        <w:rPr>
          <w:lang w:val="es-ES"/>
        </w:rPr>
      </w:pPr>
      <w:r>
        <w:rPr>
          <w:lang w:val="es-ES"/>
        </w:rPr>
        <w:t xml:space="preserve">En función de este taller se llevó a cabo una sesión del Comité de Producción Estadística tras el cual se solicita el justificativo técnico en </w:t>
      </w:r>
      <w:r>
        <w:rPr>
          <w:lang w:val="es-ES"/>
        </w:rPr>
        <w:t>torno al uso de viviendas/UPM de reemplazo en la ENCIET.</w:t>
      </w:r>
    </w:p>
    <w:p w:rsidR="008715A0" w:rsidRDefault="008715A0" w:rsidP="008715A0">
      <w:pPr>
        <w:pStyle w:val="Ttulo2"/>
        <w:rPr>
          <w:lang w:val="es-ES"/>
        </w:rPr>
      </w:pPr>
      <w:r>
        <w:rPr>
          <w:lang w:val="es-ES"/>
        </w:rPr>
        <w:t>Reemplazos de viviendas</w:t>
      </w:r>
    </w:p>
    <w:p w:rsidR="00A5158D" w:rsidRDefault="00E54E04" w:rsidP="008715A0">
      <w:pPr>
        <w:rPr>
          <w:lang w:val="es-ES"/>
        </w:rPr>
      </w:pPr>
      <w:r>
        <w:rPr>
          <w:lang w:val="es-ES"/>
        </w:rPr>
        <w:t>En el siguiente gráfico se muestra la evolución del número de viviendas investigadas y efectivas de la ENEMDU desde enero de 2021 hasta abril 2024.</w:t>
      </w:r>
    </w:p>
    <w:p w:rsidR="00E54E04" w:rsidRDefault="00E54E04" w:rsidP="00E54E04">
      <w:pPr>
        <w:pStyle w:val="Descripcin"/>
        <w:keepNext/>
        <w:jc w:val="center"/>
      </w:pPr>
      <w:r>
        <w:t xml:space="preserve">Ilustración </w:t>
      </w:r>
      <w:fldSimple w:instr=" SEQ Ilustración \* ARABIC ">
        <w:r>
          <w:rPr>
            <w:noProof/>
          </w:rPr>
          <w:t>1</w:t>
        </w:r>
      </w:fldSimple>
      <w:r>
        <w:t xml:space="preserve">. </w:t>
      </w:r>
      <w:r w:rsidRPr="00310915">
        <w:t>Evolución del número de viviendas investigadas y efectivas en la ENEMDU</w:t>
      </w:r>
    </w:p>
    <w:p w:rsidR="00D21B37" w:rsidRDefault="00D21B37" w:rsidP="008715A0">
      <w:r>
        <w:rPr>
          <w:noProof/>
          <w:lang w:eastAsia="es-EC"/>
        </w:rPr>
        <w:drawing>
          <wp:inline distT="0" distB="0" distL="0" distR="0" wp14:anchorId="48010B21" wp14:editId="6B14C967">
            <wp:extent cx="5400040" cy="3077845"/>
            <wp:effectExtent l="0" t="0" r="10160" b="825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17CE1" w:rsidRDefault="00E54E04" w:rsidP="00417CE1">
      <w:pPr>
        <w:jc w:val="both"/>
      </w:pPr>
      <w:r>
        <w:t xml:space="preserve">Puesto que la ENEMDU actual tiene </w:t>
      </w:r>
      <w:r w:rsidR="00417CE1">
        <w:t xml:space="preserve">un tamaño por UPM de </w:t>
      </w:r>
      <w:r>
        <w:t>viviendas originales (7) y de reemplazo (3) no cuenta con un tamaño muestral fijo de viviendas a investigar por mes, teniendo un rango que va desde 9.795 (agosto de 2022) hasta 11.556 (marzo de 2021)</w:t>
      </w:r>
      <w:r w:rsidR="00417CE1">
        <w:t>, en el periodo evaluado</w:t>
      </w:r>
      <w:r>
        <w:t xml:space="preserve">. </w:t>
      </w:r>
    </w:p>
    <w:p w:rsidR="00E54E04" w:rsidRDefault="00E54E04" w:rsidP="00417CE1">
      <w:pPr>
        <w:jc w:val="both"/>
      </w:pPr>
      <w:r>
        <w:t xml:space="preserve">La propuesta </w:t>
      </w:r>
      <w:r w:rsidR="00417CE1">
        <w:t xml:space="preserve">para la ENCIET </w:t>
      </w:r>
      <w:r>
        <w:t xml:space="preserve">es cambiar a un tamaño fijo de viviendas por UPM </w:t>
      </w:r>
      <w:r w:rsidR="00417CE1">
        <w:t>(8)</w:t>
      </w:r>
      <w:r w:rsidR="00417CE1">
        <w:t xml:space="preserve"> visitando 10.304 viviendas en cada uno de los meses, sin embargo, debido a la rotación de los paneles existe la posibilidad de superar las 9.016 viviendas efectivas en algunos meses (probablemente en el primer trimestre del 2026) razón por la cual desde la DINEM se evaluará el rendimiento de la muestra por estrato y panel ajustando la estrategia de selección de la muestra de viviendas para no superar la restricción presupuestaria.</w:t>
      </w:r>
    </w:p>
    <w:p w:rsidR="00417CE1" w:rsidRDefault="00417CE1" w:rsidP="00417CE1">
      <w:pPr>
        <w:pStyle w:val="Ttulo2"/>
      </w:pPr>
      <w:r>
        <w:lastRenderedPageBreak/>
        <w:t>Anexo.</w:t>
      </w:r>
    </w:p>
    <w:p w:rsidR="00417CE1" w:rsidRDefault="00417CE1" w:rsidP="00417CE1"/>
    <w:p w:rsidR="00417CE1" w:rsidRDefault="00417CE1" w:rsidP="00417CE1">
      <w:pPr>
        <w:pStyle w:val="Descripcin"/>
        <w:keepNext/>
        <w:jc w:val="center"/>
      </w:pPr>
      <w:r>
        <w:t xml:space="preserve">Tabla </w:t>
      </w:r>
      <w:fldSimple w:instr=" SEQ Tabla \* ARABIC ">
        <w:r>
          <w:rPr>
            <w:noProof/>
          </w:rPr>
          <w:t>1</w:t>
        </w:r>
      </w:fldSimple>
      <w:r>
        <w:t>. Número de viviendas investigadas y efectivas de la ENEMDU</w:t>
      </w:r>
    </w:p>
    <w:tbl>
      <w:tblPr>
        <w:tblStyle w:val="Tabladecuadrcula1clara"/>
        <w:tblW w:w="5529" w:type="dxa"/>
        <w:jc w:val="center"/>
        <w:tblLook w:val="04A0" w:firstRow="1" w:lastRow="0" w:firstColumn="1" w:lastColumn="0" w:noHBand="0" w:noVBand="1"/>
      </w:tblPr>
      <w:tblGrid>
        <w:gridCol w:w="960"/>
        <w:gridCol w:w="2442"/>
        <w:gridCol w:w="2127"/>
      </w:tblGrid>
      <w:tr w:rsidR="00417CE1" w:rsidRPr="00417CE1" w:rsidTr="00417CE1">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jc w:val="cente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Mes</w:t>
            </w:r>
          </w:p>
        </w:tc>
        <w:tc>
          <w:tcPr>
            <w:tcW w:w="2442" w:type="dxa"/>
            <w:noWrap/>
            <w:hideMark/>
          </w:tcPr>
          <w:p w:rsidR="00417CE1" w:rsidRPr="00417CE1" w:rsidRDefault="00417CE1" w:rsidP="00417CE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Viviendas investigadas ENEMDU</w:t>
            </w:r>
          </w:p>
        </w:tc>
        <w:tc>
          <w:tcPr>
            <w:tcW w:w="2127" w:type="dxa"/>
            <w:noWrap/>
            <w:hideMark/>
          </w:tcPr>
          <w:p w:rsidR="00417CE1" w:rsidRPr="00417CE1" w:rsidRDefault="00417CE1" w:rsidP="00417CE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Viviendas efectivas ENEMDU</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2021/01</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11513</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8411</w:t>
            </w:r>
          </w:p>
        </w:tc>
        <w:bookmarkStart w:id="0" w:name="_GoBack"/>
        <w:bookmarkEnd w:id="0"/>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2021/02</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11489</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8371</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2021/03</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11556</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8417</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2021/04</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10784</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8593</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2021/05</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10882</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8640</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2021/06</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10905</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8659</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2021/07</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11158</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8472</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2021/08</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11053</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8567</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2021/09</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10930</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8628</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2021/10</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10632</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8732</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2021/11</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10639</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8731</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2021/12</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10664</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8687</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2022/01</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10429</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8788</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2022/02</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10448</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8759</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2022/03</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10414</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8778</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2022/04</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10385</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8751</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2022/05</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10426</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8796</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2022/06</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10352</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8783</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2022/07</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9967</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8884</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2022/08</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9795</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8934</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2022/09</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9824</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8913</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2022/10</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10138</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8821</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2022/11</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10128</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8827</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2022/12</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10097</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8814</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2023/01</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10162</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8829</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2023/02</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10232</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8816</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2023/03</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10300</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8788</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2023/04</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10304</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8764</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2023/05</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10344</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8751</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2023/06</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10401</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8743</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2023/07</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10943</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8575</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2023/08</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10790</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8642</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2023/09</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10746</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8635</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2023/10</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10453</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8741</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2023/11</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10446</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8732</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2023/12</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10456</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8697</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2024/01</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10354</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8755</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2024/02</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10341</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8756</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2024/03</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10408</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8752</w:t>
            </w:r>
          </w:p>
        </w:tc>
      </w:tr>
      <w:tr w:rsidR="00417CE1" w:rsidRPr="00417CE1"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417CE1" w:rsidRPr="00417CE1" w:rsidRDefault="00417CE1" w:rsidP="00417CE1">
            <w:pPr>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2024/04</w:t>
            </w:r>
          </w:p>
        </w:tc>
        <w:tc>
          <w:tcPr>
            <w:tcW w:w="2442"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10450</w:t>
            </w:r>
          </w:p>
        </w:tc>
        <w:tc>
          <w:tcPr>
            <w:tcW w:w="2127" w:type="dxa"/>
            <w:noWrap/>
            <w:hideMark/>
          </w:tcPr>
          <w:p w:rsidR="00417CE1" w:rsidRPr="00417CE1" w:rsidRDefault="00417CE1" w:rsidP="00417C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s-EC"/>
              </w:rPr>
            </w:pPr>
            <w:r w:rsidRPr="00417CE1">
              <w:rPr>
                <w:rFonts w:ascii="Calibri" w:eastAsia="Times New Roman" w:hAnsi="Calibri" w:cs="Calibri"/>
                <w:color w:val="000000"/>
                <w:sz w:val="18"/>
                <w:lang w:eastAsia="es-EC"/>
              </w:rPr>
              <w:t>8752</w:t>
            </w:r>
          </w:p>
        </w:tc>
      </w:tr>
    </w:tbl>
    <w:p w:rsidR="00417CE1" w:rsidRPr="00417CE1" w:rsidRDefault="00417CE1" w:rsidP="00417CE1"/>
    <w:sectPr w:rsidR="00417CE1" w:rsidRPr="00417C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F6C"/>
    <w:rsid w:val="00211F6C"/>
    <w:rsid w:val="00417CE1"/>
    <w:rsid w:val="008715A0"/>
    <w:rsid w:val="00A5158D"/>
    <w:rsid w:val="00D21B37"/>
    <w:rsid w:val="00E52617"/>
    <w:rsid w:val="00E54E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87F23-7A3B-4AD5-9A73-611BE839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A0"/>
  </w:style>
  <w:style w:type="paragraph" w:styleId="Ttulo1">
    <w:name w:val="heading 1"/>
    <w:basedOn w:val="Normal"/>
    <w:next w:val="Normal"/>
    <w:link w:val="Ttulo1Car"/>
    <w:uiPriority w:val="9"/>
    <w:qFormat/>
    <w:rsid w:val="00871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715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15A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715A0"/>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E54E04"/>
    <w:pPr>
      <w:spacing w:after="200" w:line="240" w:lineRule="auto"/>
    </w:pPr>
    <w:rPr>
      <w:i/>
      <w:iCs/>
      <w:color w:val="44546A" w:themeColor="text2"/>
      <w:sz w:val="18"/>
      <w:szCs w:val="18"/>
    </w:rPr>
  </w:style>
  <w:style w:type="table" w:styleId="Tabladecuadrcula1clara">
    <w:name w:val="Grid Table 1 Light"/>
    <w:basedOn w:val="Tablanormal"/>
    <w:uiPriority w:val="46"/>
    <w:rsid w:val="00417CE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29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MAG\marco_upm\pedidos\06_taller_marco\informaci&#243;n\bases_viviend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Sheet1!$G$1</c:f>
              <c:strCache>
                <c:ptCount val="1"/>
                <c:pt idx="0">
                  <c:v>Viviendas investigadas ENEMDU</c:v>
                </c:pt>
              </c:strCache>
            </c:strRef>
          </c:tx>
          <c:spPr>
            <a:ln w="28575" cap="rnd">
              <a:solidFill>
                <a:schemeClr val="accent1"/>
              </a:solidFill>
              <a:round/>
            </a:ln>
            <a:effectLst/>
          </c:spPr>
          <c:marker>
            <c:symbol val="none"/>
          </c:marker>
          <c:cat>
            <c:strRef>
              <c:f>Sheet1!$F$2:$F$41</c:f>
              <c:strCache>
                <c:ptCount val="40"/>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strCache>
            </c:strRef>
          </c:cat>
          <c:val>
            <c:numRef>
              <c:f>Sheet1!$G$2:$G$41</c:f>
              <c:numCache>
                <c:formatCode>General</c:formatCode>
                <c:ptCount val="40"/>
                <c:pt idx="0">
                  <c:v>11513</c:v>
                </c:pt>
                <c:pt idx="1">
                  <c:v>11489</c:v>
                </c:pt>
                <c:pt idx="2">
                  <c:v>11556</c:v>
                </c:pt>
                <c:pt idx="3">
                  <c:v>10784</c:v>
                </c:pt>
                <c:pt idx="4">
                  <c:v>10882</c:v>
                </c:pt>
                <c:pt idx="5">
                  <c:v>10905</c:v>
                </c:pt>
                <c:pt idx="6">
                  <c:v>11158</c:v>
                </c:pt>
                <c:pt idx="7">
                  <c:v>11053</c:v>
                </c:pt>
                <c:pt idx="8">
                  <c:v>10930</c:v>
                </c:pt>
                <c:pt idx="9">
                  <c:v>10632</c:v>
                </c:pt>
                <c:pt idx="10">
                  <c:v>10639</c:v>
                </c:pt>
                <c:pt idx="11">
                  <c:v>10664</c:v>
                </c:pt>
                <c:pt idx="12">
                  <c:v>10429</c:v>
                </c:pt>
                <c:pt idx="13">
                  <c:v>10448</c:v>
                </c:pt>
                <c:pt idx="14">
                  <c:v>10414</c:v>
                </c:pt>
                <c:pt idx="15">
                  <c:v>10385</c:v>
                </c:pt>
                <c:pt idx="16">
                  <c:v>10426</c:v>
                </c:pt>
                <c:pt idx="17">
                  <c:v>10352</c:v>
                </c:pt>
                <c:pt idx="18">
                  <c:v>9967</c:v>
                </c:pt>
                <c:pt idx="19">
                  <c:v>9795</c:v>
                </c:pt>
                <c:pt idx="20">
                  <c:v>9824</c:v>
                </c:pt>
                <c:pt idx="21">
                  <c:v>10138</c:v>
                </c:pt>
                <c:pt idx="22">
                  <c:v>10128</c:v>
                </c:pt>
                <c:pt idx="23">
                  <c:v>10097</c:v>
                </c:pt>
                <c:pt idx="24">
                  <c:v>10162</c:v>
                </c:pt>
                <c:pt idx="25">
                  <c:v>10232</c:v>
                </c:pt>
                <c:pt idx="26">
                  <c:v>10300</c:v>
                </c:pt>
                <c:pt idx="27">
                  <c:v>10304</c:v>
                </c:pt>
                <c:pt idx="28">
                  <c:v>10344</c:v>
                </c:pt>
                <c:pt idx="29">
                  <c:v>10401</c:v>
                </c:pt>
                <c:pt idx="30">
                  <c:v>10943</c:v>
                </c:pt>
                <c:pt idx="31">
                  <c:v>10790</c:v>
                </c:pt>
                <c:pt idx="32">
                  <c:v>10746</c:v>
                </c:pt>
                <c:pt idx="33">
                  <c:v>10453</c:v>
                </c:pt>
                <c:pt idx="34">
                  <c:v>10446</c:v>
                </c:pt>
                <c:pt idx="35">
                  <c:v>10456</c:v>
                </c:pt>
                <c:pt idx="36">
                  <c:v>10354</c:v>
                </c:pt>
                <c:pt idx="37">
                  <c:v>10341</c:v>
                </c:pt>
                <c:pt idx="38">
                  <c:v>10408</c:v>
                </c:pt>
                <c:pt idx="39">
                  <c:v>10450</c:v>
                </c:pt>
              </c:numCache>
            </c:numRef>
          </c:val>
          <c:smooth val="0"/>
        </c:ser>
        <c:ser>
          <c:idx val="1"/>
          <c:order val="1"/>
          <c:tx>
            <c:strRef>
              <c:f>Sheet1!$H$1</c:f>
              <c:strCache>
                <c:ptCount val="1"/>
                <c:pt idx="0">
                  <c:v>Viviendas efectivas ENEMDU</c:v>
                </c:pt>
              </c:strCache>
            </c:strRef>
          </c:tx>
          <c:spPr>
            <a:ln w="28575" cap="rnd">
              <a:solidFill>
                <a:schemeClr val="accent2"/>
              </a:solidFill>
              <a:round/>
            </a:ln>
            <a:effectLst/>
          </c:spPr>
          <c:marker>
            <c:symbol val="none"/>
          </c:marker>
          <c:cat>
            <c:strRef>
              <c:f>Sheet1!$F$2:$F$41</c:f>
              <c:strCache>
                <c:ptCount val="40"/>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strCache>
            </c:strRef>
          </c:cat>
          <c:val>
            <c:numRef>
              <c:f>Sheet1!$H$2:$H$41</c:f>
              <c:numCache>
                <c:formatCode>General</c:formatCode>
                <c:ptCount val="40"/>
                <c:pt idx="0">
                  <c:v>8411</c:v>
                </c:pt>
                <c:pt idx="1">
                  <c:v>8371</c:v>
                </c:pt>
                <c:pt idx="2">
                  <c:v>8417</c:v>
                </c:pt>
                <c:pt idx="3">
                  <c:v>8593</c:v>
                </c:pt>
                <c:pt idx="4">
                  <c:v>8640</c:v>
                </c:pt>
                <c:pt idx="5">
                  <c:v>8659</c:v>
                </c:pt>
                <c:pt idx="6">
                  <c:v>8472</c:v>
                </c:pt>
                <c:pt idx="7">
                  <c:v>8567</c:v>
                </c:pt>
                <c:pt idx="8">
                  <c:v>8628</c:v>
                </c:pt>
                <c:pt idx="9">
                  <c:v>8732</c:v>
                </c:pt>
                <c:pt idx="10">
                  <c:v>8731</c:v>
                </c:pt>
                <c:pt idx="11">
                  <c:v>8687</c:v>
                </c:pt>
                <c:pt idx="12">
                  <c:v>8788</c:v>
                </c:pt>
                <c:pt idx="13">
                  <c:v>8759</c:v>
                </c:pt>
                <c:pt idx="14">
                  <c:v>8778</c:v>
                </c:pt>
                <c:pt idx="15">
                  <c:v>8751</c:v>
                </c:pt>
                <c:pt idx="16">
                  <c:v>8796</c:v>
                </c:pt>
                <c:pt idx="17">
                  <c:v>8783</c:v>
                </c:pt>
                <c:pt idx="18">
                  <c:v>8884</c:v>
                </c:pt>
                <c:pt idx="19">
                  <c:v>8934</c:v>
                </c:pt>
                <c:pt idx="20">
                  <c:v>8913</c:v>
                </c:pt>
                <c:pt idx="21">
                  <c:v>8821</c:v>
                </c:pt>
                <c:pt idx="22">
                  <c:v>8827</c:v>
                </c:pt>
                <c:pt idx="23">
                  <c:v>8814</c:v>
                </c:pt>
                <c:pt idx="24">
                  <c:v>8829</c:v>
                </c:pt>
                <c:pt idx="25">
                  <c:v>8816</c:v>
                </c:pt>
                <c:pt idx="26">
                  <c:v>8788</c:v>
                </c:pt>
                <c:pt idx="27">
                  <c:v>8764</c:v>
                </c:pt>
                <c:pt idx="28">
                  <c:v>8751</c:v>
                </c:pt>
                <c:pt idx="29">
                  <c:v>8743</c:v>
                </c:pt>
                <c:pt idx="30">
                  <c:v>8575</c:v>
                </c:pt>
                <c:pt idx="31">
                  <c:v>8642</c:v>
                </c:pt>
                <c:pt idx="32">
                  <c:v>8635</c:v>
                </c:pt>
                <c:pt idx="33">
                  <c:v>8741</c:v>
                </c:pt>
                <c:pt idx="34">
                  <c:v>8732</c:v>
                </c:pt>
                <c:pt idx="35">
                  <c:v>8697</c:v>
                </c:pt>
                <c:pt idx="36">
                  <c:v>8755</c:v>
                </c:pt>
                <c:pt idx="37">
                  <c:v>8756</c:v>
                </c:pt>
                <c:pt idx="38">
                  <c:v>8752</c:v>
                </c:pt>
                <c:pt idx="39">
                  <c:v>8752</c:v>
                </c:pt>
              </c:numCache>
            </c:numRef>
          </c:val>
          <c:smooth val="0"/>
        </c:ser>
        <c:ser>
          <c:idx val="2"/>
          <c:order val="2"/>
          <c:tx>
            <c:strRef>
              <c:f>Sheet1!$I$1</c:f>
              <c:strCache>
                <c:ptCount val="1"/>
                <c:pt idx="0">
                  <c:v>Viviendas planificadas efectivas ENEMDU</c:v>
                </c:pt>
              </c:strCache>
            </c:strRef>
          </c:tx>
          <c:spPr>
            <a:ln w="28575" cap="rnd">
              <a:solidFill>
                <a:schemeClr val="accent3"/>
              </a:solidFill>
              <a:prstDash val="sysDot"/>
              <a:round/>
            </a:ln>
            <a:effectLst/>
          </c:spPr>
          <c:marker>
            <c:symbol val="none"/>
          </c:marker>
          <c:cat>
            <c:strRef>
              <c:f>Sheet1!$F$2:$F$41</c:f>
              <c:strCache>
                <c:ptCount val="40"/>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strCache>
            </c:strRef>
          </c:cat>
          <c:val>
            <c:numRef>
              <c:f>Sheet1!$I$2:$I$41</c:f>
              <c:numCache>
                <c:formatCode>General</c:formatCode>
                <c:ptCount val="40"/>
                <c:pt idx="0">
                  <c:v>9016</c:v>
                </c:pt>
                <c:pt idx="1">
                  <c:v>9016</c:v>
                </c:pt>
                <c:pt idx="2">
                  <c:v>9016</c:v>
                </c:pt>
                <c:pt idx="3">
                  <c:v>9016</c:v>
                </c:pt>
                <c:pt idx="4">
                  <c:v>9016</c:v>
                </c:pt>
                <c:pt idx="5">
                  <c:v>9016</c:v>
                </c:pt>
                <c:pt idx="6">
                  <c:v>9016</c:v>
                </c:pt>
                <c:pt idx="7">
                  <c:v>9016</c:v>
                </c:pt>
                <c:pt idx="8">
                  <c:v>9016</c:v>
                </c:pt>
                <c:pt idx="9">
                  <c:v>9016</c:v>
                </c:pt>
                <c:pt idx="10">
                  <c:v>9016</c:v>
                </c:pt>
                <c:pt idx="11">
                  <c:v>9016</c:v>
                </c:pt>
                <c:pt idx="12">
                  <c:v>9016</c:v>
                </c:pt>
                <c:pt idx="13">
                  <c:v>9016</c:v>
                </c:pt>
                <c:pt idx="14">
                  <c:v>9016</c:v>
                </c:pt>
                <c:pt idx="15">
                  <c:v>9016</c:v>
                </c:pt>
                <c:pt idx="16">
                  <c:v>9016</c:v>
                </c:pt>
                <c:pt idx="17">
                  <c:v>9016</c:v>
                </c:pt>
                <c:pt idx="18">
                  <c:v>9016</c:v>
                </c:pt>
                <c:pt idx="19">
                  <c:v>9016</c:v>
                </c:pt>
                <c:pt idx="20">
                  <c:v>9016</c:v>
                </c:pt>
                <c:pt idx="21">
                  <c:v>9016</c:v>
                </c:pt>
                <c:pt idx="22">
                  <c:v>9016</c:v>
                </c:pt>
                <c:pt idx="23">
                  <c:v>9016</c:v>
                </c:pt>
                <c:pt idx="24">
                  <c:v>9016</c:v>
                </c:pt>
                <c:pt idx="25">
                  <c:v>9016</c:v>
                </c:pt>
                <c:pt idx="26">
                  <c:v>9016</c:v>
                </c:pt>
                <c:pt idx="27">
                  <c:v>9016</c:v>
                </c:pt>
                <c:pt idx="28">
                  <c:v>9016</c:v>
                </c:pt>
                <c:pt idx="29">
                  <c:v>9016</c:v>
                </c:pt>
                <c:pt idx="30">
                  <c:v>9016</c:v>
                </c:pt>
                <c:pt idx="31">
                  <c:v>9016</c:v>
                </c:pt>
                <c:pt idx="32">
                  <c:v>9016</c:v>
                </c:pt>
                <c:pt idx="33">
                  <c:v>9016</c:v>
                </c:pt>
                <c:pt idx="34">
                  <c:v>9016</c:v>
                </c:pt>
                <c:pt idx="35">
                  <c:v>9016</c:v>
                </c:pt>
                <c:pt idx="36">
                  <c:v>9016</c:v>
                </c:pt>
                <c:pt idx="37">
                  <c:v>9016</c:v>
                </c:pt>
                <c:pt idx="38">
                  <c:v>9016</c:v>
                </c:pt>
                <c:pt idx="39">
                  <c:v>9016</c:v>
                </c:pt>
              </c:numCache>
            </c:numRef>
          </c:val>
          <c:smooth val="0"/>
        </c:ser>
        <c:ser>
          <c:idx val="3"/>
          <c:order val="3"/>
          <c:tx>
            <c:strRef>
              <c:f>Sheet1!$J$1</c:f>
              <c:strCache>
                <c:ptCount val="1"/>
                <c:pt idx="0">
                  <c:v>Viviendas planificadas totales ENCIET</c:v>
                </c:pt>
              </c:strCache>
            </c:strRef>
          </c:tx>
          <c:spPr>
            <a:ln w="28575" cap="rnd">
              <a:solidFill>
                <a:schemeClr val="accent4"/>
              </a:solidFill>
              <a:prstDash val="sysDot"/>
              <a:round/>
            </a:ln>
            <a:effectLst/>
          </c:spPr>
          <c:marker>
            <c:symbol val="none"/>
          </c:marker>
          <c:cat>
            <c:strRef>
              <c:f>Sheet1!$F$2:$F$41</c:f>
              <c:strCache>
                <c:ptCount val="40"/>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strCache>
            </c:strRef>
          </c:cat>
          <c:val>
            <c:numRef>
              <c:f>Sheet1!$J$2:$J$41</c:f>
              <c:numCache>
                <c:formatCode>General</c:formatCode>
                <c:ptCount val="40"/>
                <c:pt idx="0">
                  <c:v>10304</c:v>
                </c:pt>
                <c:pt idx="1">
                  <c:v>10304</c:v>
                </c:pt>
                <c:pt idx="2">
                  <c:v>10304</c:v>
                </c:pt>
                <c:pt idx="3">
                  <c:v>10304</c:v>
                </c:pt>
                <c:pt idx="4">
                  <c:v>10304</c:v>
                </c:pt>
                <c:pt idx="5">
                  <c:v>10304</c:v>
                </c:pt>
                <c:pt idx="6">
                  <c:v>10304</c:v>
                </c:pt>
                <c:pt idx="7">
                  <c:v>10304</c:v>
                </c:pt>
                <c:pt idx="8">
                  <c:v>10304</c:v>
                </c:pt>
                <c:pt idx="9">
                  <c:v>10304</c:v>
                </c:pt>
                <c:pt idx="10">
                  <c:v>10304</c:v>
                </c:pt>
                <c:pt idx="11">
                  <c:v>10304</c:v>
                </c:pt>
                <c:pt idx="12">
                  <c:v>10304</c:v>
                </c:pt>
                <c:pt idx="13">
                  <c:v>10304</c:v>
                </c:pt>
                <c:pt idx="14">
                  <c:v>10304</c:v>
                </c:pt>
                <c:pt idx="15">
                  <c:v>10304</c:v>
                </c:pt>
                <c:pt idx="16">
                  <c:v>10304</c:v>
                </c:pt>
                <c:pt idx="17">
                  <c:v>10304</c:v>
                </c:pt>
                <c:pt idx="18">
                  <c:v>10304</c:v>
                </c:pt>
                <c:pt idx="19">
                  <c:v>10304</c:v>
                </c:pt>
                <c:pt idx="20">
                  <c:v>10304</c:v>
                </c:pt>
                <c:pt idx="21">
                  <c:v>10304</c:v>
                </c:pt>
                <c:pt idx="22">
                  <c:v>10304</c:v>
                </c:pt>
                <c:pt idx="23">
                  <c:v>10304</c:v>
                </c:pt>
                <c:pt idx="24">
                  <c:v>10304</c:v>
                </c:pt>
                <c:pt idx="25">
                  <c:v>10304</c:v>
                </c:pt>
                <c:pt idx="26">
                  <c:v>10304</c:v>
                </c:pt>
                <c:pt idx="27">
                  <c:v>10304</c:v>
                </c:pt>
                <c:pt idx="28">
                  <c:v>10304</c:v>
                </c:pt>
                <c:pt idx="29">
                  <c:v>10304</c:v>
                </c:pt>
                <c:pt idx="30">
                  <c:v>10304</c:v>
                </c:pt>
                <c:pt idx="31">
                  <c:v>10304</c:v>
                </c:pt>
                <c:pt idx="32">
                  <c:v>10304</c:v>
                </c:pt>
                <c:pt idx="33">
                  <c:v>10304</c:v>
                </c:pt>
                <c:pt idx="34">
                  <c:v>10304</c:v>
                </c:pt>
                <c:pt idx="35">
                  <c:v>10304</c:v>
                </c:pt>
                <c:pt idx="36">
                  <c:v>10304</c:v>
                </c:pt>
                <c:pt idx="37">
                  <c:v>10304</c:v>
                </c:pt>
                <c:pt idx="38">
                  <c:v>10304</c:v>
                </c:pt>
                <c:pt idx="39">
                  <c:v>10304</c:v>
                </c:pt>
              </c:numCache>
            </c:numRef>
          </c:val>
          <c:smooth val="0"/>
        </c:ser>
        <c:dLbls>
          <c:showLegendKey val="0"/>
          <c:showVal val="0"/>
          <c:showCatName val="0"/>
          <c:showSerName val="0"/>
          <c:showPercent val="0"/>
          <c:showBubbleSize val="0"/>
        </c:dLbls>
        <c:smooth val="0"/>
        <c:axId val="-160441888"/>
        <c:axId val="-160441344"/>
      </c:lineChart>
      <c:catAx>
        <c:axId val="-160441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EC"/>
          </a:p>
        </c:txPr>
        <c:crossAx val="-160441344"/>
        <c:crosses val="autoZero"/>
        <c:auto val="1"/>
        <c:lblAlgn val="ctr"/>
        <c:lblOffset val="100"/>
        <c:noMultiLvlLbl val="0"/>
      </c:catAx>
      <c:valAx>
        <c:axId val="-160441344"/>
        <c:scaling>
          <c:orientation val="minMax"/>
          <c:max val="12000"/>
          <c:min val="80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6044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403</Words>
  <Characters>2222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Angel Gaibor</dc:creator>
  <cp:keywords/>
  <dc:description/>
  <cp:lastModifiedBy>INEC Angel Gaibor</cp:lastModifiedBy>
  <cp:revision>2</cp:revision>
  <dcterms:created xsi:type="dcterms:W3CDTF">2024-05-15T14:22:00Z</dcterms:created>
  <dcterms:modified xsi:type="dcterms:W3CDTF">2024-05-15T15:12:00Z</dcterms:modified>
</cp:coreProperties>
</file>