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481" w:rsidRPr="00677481" w:rsidRDefault="00677481" w:rsidP="00677481">
      <w:pPr>
        <w:pStyle w:val="Ttulo1"/>
        <w:rPr>
          <w:lang w:val="es-ES"/>
        </w:rPr>
      </w:pPr>
      <w:r w:rsidRPr="00677481">
        <w:rPr>
          <w:lang w:val="es-ES"/>
        </w:rPr>
        <w:t>Definición de dominios de diseño para ENCIET y ENIGHUR</w:t>
      </w:r>
      <w:r>
        <w:rPr>
          <w:lang w:val="es-ES"/>
        </w:rPr>
        <w:t xml:space="preserve"> y sus implicaciones en la construcción del marco de muestreo</w:t>
      </w:r>
    </w:p>
    <w:p w:rsidR="00677481" w:rsidRDefault="00677481" w:rsidP="00677481">
      <w:pPr>
        <w:rPr>
          <w:b/>
          <w:lang w:val="es-ES"/>
        </w:rPr>
      </w:pPr>
    </w:p>
    <w:p w:rsidR="008B6F22" w:rsidRDefault="008B6F22" w:rsidP="00677481">
      <w:pPr>
        <w:pStyle w:val="Ttulo2"/>
        <w:rPr>
          <w:lang w:val="es-ES"/>
        </w:rPr>
      </w:pPr>
      <w:r>
        <w:rPr>
          <w:lang w:val="es-ES"/>
        </w:rPr>
        <w:t>Introducción</w:t>
      </w:r>
      <w:bookmarkStart w:id="0" w:name="_GoBack"/>
      <w:bookmarkEnd w:id="0"/>
    </w:p>
    <w:p w:rsidR="008B6F22" w:rsidRDefault="008B6F22" w:rsidP="008B6F22">
      <w:pPr>
        <w:jc w:val="both"/>
        <w:rPr>
          <w:lang w:val="es-ES"/>
        </w:rPr>
      </w:pPr>
      <w:r>
        <w:rPr>
          <w:lang w:val="es-ES"/>
        </w:rPr>
        <w:t xml:space="preserve">En el taller de definiciones para construcción del Marco de Muestreo que se llevó a cabo desde el 6 hasta el 7 de mayo de 2024 se tomaron decisiones para la construcción del Marco muestral y el desarrollo de las diferentes encuestas </w:t>
      </w:r>
      <w:proofErr w:type="spellStart"/>
      <w:r>
        <w:rPr>
          <w:lang w:val="es-ES"/>
        </w:rPr>
        <w:t>intercensales</w:t>
      </w:r>
      <w:proofErr w:type="spellEnd"/>
      <w:r>
        <w:rPr>
          <w:lang w:val="es-ES"/>
        </w:rPr>
        <w:t>.</w:t>
      </w:r>
    </w:p>
    <w:p w:rsidR="008B6F22" w:rsidRDefault="008B6F22" w:rsidP="008B6F22">
      <w:pPr>
        <w:jc w:val="both"/>
        <w:rPr>
          <w:lang w:val="es-ES"/>
        </w:rPr>
      </w:pPr>
      <w:r>
        <w:rPr>
          <w:lang w:val="es-ES"/>
        </w:rPr>
        <w:t xml:space="preserve">En función de este taller se llevó a cabo una sesión del Comité de Producción Estadística tras el cual se solicita el justificativo técnico </w:t>
      </w:r>
      <w:r>
        <w:rPr>
          <w:lang w:val="es-ES"/>
        </w:rPr>
        <w:t xml:space="preserve">en torno a la inclusión de un conjunto de cantones como dominios de diseño en las encuestas </w:t>
      </w:r>
      <w:proofErr w:type="spellStart"/>
      <w:r>
        <w:rPr>
          <w:lang w:val="es-ES"/>
        </w:rPr>
        <w:t>intercensales</w:t>
      </w:r>
      <w:proofErr w:type="spellEnd"/>
      <w:r>
        <w:rPr>
          <w:lang w:val="es-ES"/>
        </w:rPr>
        <w:t xml:space="preserve"> y su implicación en la construcción del marco de muestreo.</w:t>
      </w:r>
    </w:p>
    <w:p w:rsidR="008B6F22" w:rsidRDefault="008B6F22" w:rsidP="00677481">
      <w:pPr>
        <w:pStyle w:val="Ttulo2"/>
        <w:rPr>
          <w:lang w:val="es-ES"/>
        </w:rPr>
      </w:pPr>
      <w:r>
        <w:rPr>
          <w:lang w:val="es-ES"/>
        </w:rPr>
        <w:t>Estratificación del marco muestral</w:t>
      </w:r>
    </w:p>
    <w:p w:rsidR="008B6F22" w:rsidRDefault="008B6F22" w:rsidP="008B6F22">
      <w:pPr>
        <w:jc w:val="both"/>
        <w:rPr>
          <w:lang w:val="es-ES"/>
        </w:rPr>
      </w:pPr>
      <w:r>
        <w:rPr>
          <w:lang w:val="es-ES"/>
        </w:rPr>
        <w:t xml:space="preserve">Los dominios de estudio de las encuestas influyen directamente en el marco de muestreo puesto que al requerir un tamaño de muestra </w:t>
      </w:r>
      <w:r>
        <w:rPr>
          <w:lang w:val="es-ES"/>
        </w:rPr>
        <w:t xml:space="preserve">fijo </w:t>
      </w:r>
      <w:r>
        <w:rPr>
          <w:lang w:val="es-ES"/>
        </w:rPr>
        <w:t xml:space="preserve">deben poder delimitarse </w:t>
      </w:r>
      <w:r>
        <w:rPr>
          <w:lang w:val="es-ES"/>
        </w:rPr>
        <w:t xml:space="preserve">dentro del marco de muestreo, </w:t>
      </w:r>
      <w:r>
        <w:rPr>
          <w:lang w:val="es-ES"/>
        </w:rPr>
        <w:t>esto implica considerarlos al momento de determinar los dominios geográficos de estratificación.</w:t>
      </w:r>
    </w:p>
    <w:p w:rsidR="008B6F22" w:rsidRDefault="008B6F22" w:rsidP="008B6F22">
      <w:pPr>
        <w:jc w:val="both"/>
        <w:rPr>
          <w:lang w:val="es-ES"/>
        </w:rPr>
      </w:pPr>
      <w:r>
        <w:rPr>
          <w:lang w:val="es-ES"/>
        </w:rPr>
        <w:t>Tradicionalmente en la ENEMDU se han considerado 5 ciudades auto-representadas (Cuenca, Machala, Guayaquil, Quito y Ambato) y</w:t>
      </w:r>
      <w:r>
        <w:rPr>
          <w:lang w:val="es-ES"/>
        </w:rPr>
        <w:t xml:space="preserve"> actualmente</w:t>
      </w:r>
      <w:r>
        <w:rPr>
          <w:lang w:val="es-ES"/>
        </w:rPr>
        <w:t xml:space="preserve"> se entregan datos de forma trimestral, mientras que en la ENIGHUR</w:t>
      </w:r>
      <w:r>
        <w:rPr>
          <w:lang w:val="es-ES"/>
        </w:rPr>
        <w:t xml:space="preserve"> 2011</w:t>
      </w:r>
      <w:r>
        <w:rPr>
          <w:lang w:val="es-ES"/>
        </w:rPr>
        <w:t xml:space="preserve"> se considera</w:t>
      </w:r>
      <w:r>
        <w:rPr>
          <w:lang w:val="es-ES"/>
        </w:rPr>
        <w:t>ro</w:t>
      </w:r>
      <w:r>
        <w:rPr>
          <w:lang w:val="es-ES"/>
        </w:rPr>
        <w:t>n 9 ciudades auto-representadas (</w:t>
      </w:r>
      <w:r w:rsidRPr="0002517D">
        <w:rPr>
          <w:lang w:val="es-ES"/>
        </w:rPr>
        <w:t>Cuenca, Machala,</w:t>
      </w:r>
      <w:r>
        <w:rPr>
          <w:lang w:val="es-ES"/>
        </w:rPr>
        <w:t xml:space="preserve"> Esmeraldas,</w:t>
      </w:r>
      <w:r w:rsidRPr="0002517D">
        <w:rPr>
          <w:lang w:val="es-ES"/>
        </w:rPr>
        <w:t xml:space="preserve"> Guayaquil, </w:t>
      </w:r>
      <w:r>
        <w:rPr>
          <w:lang w:val="es-ES"/>
        </w:rPr>
        <w:t xml:space="preserve">Loja, Manta, </w:t>
      </w:r>
      <w:r w:rsidRPr="0002517D">
        <w:rPr>
          <w:lang w:val="es-ES"/>
        </w:rPr>
        <w:t>Quito</w:t>
      </w:r>
      <w:r>
        <w:rPr>
          <w:lang w:val="es-ES"/>
        </w:rPr>
        <w:t>,</w:t>
      </w:r>
      <w:r w:rsidRPr="0002517D">
        <w:rPr>
          <w:lang w:val="es-ES"/>
        </w:rPr>
        <w:t xml:space="preserve"> Ambato</w:t>
      </w:r>
      <w:r>
        <w:rPr>
          <w:lang w:val="es-ES"/>
        </w:rPr>
        <w:t xml:space="preserve"> y Santo Domingo). Tanto la ENEMDU como la ENIGHUR requieren estos dominios de estudio, sin embargo, en el taller de definiciones para construcción del Marco de Muestreo se decidió cambiar los dominios de ciudad a cantón por lo que los cantones que contienen a las 9 ciudades auto-representadas deben ser incluidos como dominios geográficos de estratificación.</w:t>
      </w:r>
    </w:p>
    <w:p w:rsidR="008B6F22" w:rsidRDefault="008B6F22" w:rsidP="008B6F22">
      <w:pPr>
        <w:jc w:val="both"/>
        <w:rPr>
          <w:lang w:val="es-ES"/>
        </w:rPr>
      </w:pPr>
      <w:r>
        <w:rPr>
          <w:lang w:val="es-ES"/>
        </w:rPr>
        <w:t>En la siguiente tabla se detalla el número de UPM por cantón y área, se incluye Riobamba para tener un total de los 10 cantones más influyentes de acuerdo a un ranking elaborado por DECON.</w:t>
      </w:r>
    </w:p>
    <w:p w:rsidR="008B6F22" w:rsidRDefault="008B6F22" w:rsidP="008B6F22">
      <w:pPr>
        <w:jc w:val="center"/>
      </w:pPr>
      <w:r>
        <w:t xml:space="preserve">Tabla </w:t>
      </w:r>
      <w:r>
        <w:fldChar w:fldCharType="begin"/>
      </w:r>
      <w:r>
        <w:instrText xml:space="preserve"> SEQ Tabla \* ARABIC </w:instrText>
      </w:r>
      <w:r>
        <w:fldChar w:fldCharType="separate"/>
      </w:r>
      <w:r>
        <w:rPr>
          <w:noProof/>
        </w:rPr>
        <w:t>1</w:t>
      </w:r>
      <w:r>
        <w:fldChar w:fldCharType="end"/>
      </w:r>
      <w:r>
        <w:t>. Número de UPM por cantón</w:t>
      </w:r>
    </w:p>
    <w:tbl>
      <w:tblPr>
        <w:tblW w:w="3617" w:type="dxa"/>
        <w:jc w:val="center"/>
        <w:tblCellMar>
          <w:left w:w="0" w:type="dxa"/>
          <w:right w:w="0" w:type="dxa"/>
        </w:tblCellMar>
        <w:tblLook w:val="04A0" w:firstRow="1" w:lastRow="0" w:firstColumn="1" w:lastColumn="0" w:noHBand="0" w:noVBand="1"/>
      </w:tblPr>
      <w:tblGrid>
        <w:gridCol w:w="1217"/>
        <w:gridCol w:w="1200"/>
        <w:gridCol w:w="1200"/>
      </w:tblGrid>
      <w:tr w:rsidR="008B6F22" w:rsidRPr="004141BD" w:rsidTr="00725AC8">
        <w:trPr>
          <w:trHeight w:val="227"/>
          <w:jc w:val="center"/>
        </w:trPr>
        <w:tc>
          <w:tcPr>
            <w:tcW w:w="1217"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b/>
                <w:color w:val="000000"/>
                <w:sz w:val="20"/>
                <w:lang w:eastAsia="es-EC"/>
              </w:rPr>
            </w:pPr>
            <w:r w:rsidRPr="004141BD">
              <w:rPr>
                <w:rFonts w:ascii="Calibri" w:eastAsia="Calibri" w:hAnsi="Calibri" w:cs="Calibri"/>
                <w:b/>
                <w:color w:val="000000"/>
                <w:sz w:val="20"/>
                <w:lang w:eastAsia="es-EC"/>
              </w:rPr>
              <w:t>Cantón</w:t>
            </w:r>
          </w:p>
        </w:tc>
        <w:tc>
          <w:tcPr>
            <w:tcW w:w="120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b/>
                <w:color w:val="000000"/>
                <w:sz w:val="20"/>
                <w:lang w:eastAsia="es-EC"/>
              </w:rPr>
            </w:pPr>
            <w:r w:rsidRPr="004141BD">
              <w:rPr>
                <w:rFonts w:ascii="Calibri" w:eastAsia="Calibri" w:hAnsi="Calibri" w:cs="Calibri"/>
                <w:b/>
                <w:color w:val="000000"/>
                <w:sz w:val="20"/>
                <w:lang w:eastAsia="es-EC"/>
              </w:rPr>
              <w:t>Área</w:t>
            </w:r>
          </w:p>
        </w:tc>
        <w:tc>
          <w:tcPr>
            <w:tcW w:w="120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b/>
                <w:color w:val="000000"/>
                <w:sz w:val="20"/>
                <w:lang w:eastAsia="es-EC"/>
              </w:rPr>
            </w:pPr>
            <w:r w:rsidRPr="004141BD">
              <w:rPr>
                <w:rFonts w:ascii="Calibri" w:eastAsia="Calibri" w:hAnsi="Calibri" w:cs="Calibri"/>
                <w:b/>
                <w:color w:val="000000"/>
                <w:sz w:val="20"/>
                <w:lang w:eastAsia="es-EC"/>
              </w:rPr>
              <w:t>N° UPM</w:t>
            </w:r>
          </w:p>
        </w:tc>
      </w:tr>
      <w:tr w:rsidR="008B6F22" w:rsidRPr="004141BD"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Cuenca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1</w:t>
            </w:r>
            <w:r>
              <w:rPr>
                <w:rFonts w:ascii="Calibri" w:eastAsia="Calibri" w:hAnsi="Calibri" w:cs="Calibri"/>
                <w:color w:val="000000"/>
                <w:sz w:val="20"/>
                <w:lang w:eastAsia="es-EC"/>
              </w:rPr>
              <w:t>.</w:t>
            </w:r>
            <w:r w:rsidRPr="004141BD">
              <w:rPr>
                <w:rFonts w:ascii="Calibri" w:eastAsia="Calibri" w:hAnsi="Calibri" w:cs="Calibri"/>
                <w:color w:val="000000"/>
                <w:sz w:val="20"/>
                <w:lang w:eastAsia="es-EC"/>
              </w:rPr>
              <w:t>375</w:t>
            </w:r>
          </w:p>
        </w:tc>
      </w:tr>
      <w:tr w:rsidR="008B6F22" w:rsidRPr="004141BD" w:rsidTr="00725AC8">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8B6F22" w:rsidRPr="004141BD" w:rsidRDefault="008B6F22" w:rsidP="00725AC8">
            <w:pPr>
              <w:spacing w:after="0" w:line="240" w:lineRule="auto"/>
              <w:rPr>
                <w:rFonts w:ascii="Calibri" w:eastAsia="Calibri" w:hAnsi="Calibri"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601</w:t>
            </w:r>
          </w:p>
        </w:tc>
      </w:tr>
      <w:tr w:rsidR="008B6F22" w:rsidRPr="004141BD"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Riobamba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705</w:t>
            </w:r>
          </w:p>
        </w:tc>
      </w:tr>
      <w:tr w:rsidR="008B6F22" w:rsidRPr="004141BD" w:rsidTr="00725AC8">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8B6F22" w:rsidRPr="004141BD" w:rsidRDefault="008B6F22" w:rsidP="00725AC8">
            <w:pPr>
              <w:spacing w:after="0" w:line="240" w:lineRule="auto"/>
              <w:rPr>
                <w:rFonts w:ascii="Calibri" w:eastAsia="Calibri" w:hAnsi="Calibri"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200</w:t>
            </w:r>
          </w:p>
        </w:tc>
      </w:tr>
      <w:tr w:rsidR="008B6F22" w:rsidRPr="004141BD"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Machala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968</w:t>
            </w:r>
          </w:p>
        </w:tc>
      </w:tr>
      <w:tr w:rsidR="008B6F22" w:rsidRPr="004141BD" w:rsidTr="00725AC8">
        <w:trPr>
          <w:trHeight w:val="227"/>
          <w:jc w:val="center"/>
        </w:trPr>
        <w:tc>
          <w:tcPr>
            <w:tcW w:w="1217" w:type="dxa"/>
            <w:vMerge/>
            <w:tcBorders>
              <w:left w:val="single" w:sz="8" w:space="0" w:color="auto"/>
              <w:bottom w:val="single" w:sz="8" w:space="0" w:color="auto"/>
              <w:right w:val="single" w:sz="8" w:space="0" w:color="auto"/>
            </w:tcBorders>
            <w:shd w:val="clear" w:color="auto" w:fill="FF0000"/>
            <w:noWrap/>
            <w:tcMar>
              <w:top w:w="0" w:type="dxa"/>
              <w:left w:w="70" w:type="dxa"/>
              <w:bottom w:w="0" w:type="dxa"/>
              <w:right w:w="70" w:type="dxa"/>
            </w:tcMar>
            <w:vAlign w:val="center"/>
            <w:hideMark/>
          </w:tcPr>
          <w:p w:rsidR="008B6F22" w:rsidRPr="004141BD" w:rsidRDefault="008B6F22" w:rsidP="00725AC8">
            <w:pPr>
              <w:spacing w:after="0" w:line="240" w:lineRule="auto"/>
              <w:rPr>
                <w:rFonts w:ascii="Calibri" w:eastAsia="Calibri" w:hAnsi="Calibri" w:cs="Calibri"/>
                <w:color w:val="000000"/>
                <w:sz w:val="20"/>
                <w:lang w:eastAsia="es-EC"/>
              </w:rPr>
            </w:pPr>
          </w:p>
        </w:tc>
        <w:tc>
          <w:tcPr>
            <w:tcW w:w="12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Rural</w:t>
            </w:r>
          </w:p>
        </w:tc>
        <w:tc>
          <w:tcPr>
            <w:tcW w:w="1200" w:type="dxa"/>
            <w:tcBorders>
              <w:top w:val="nil"/>
              <w:left w:val="nil"/>
              <w:bottom w:val="single" w:sz="8" w:space="0" w:color="auto"/>
              <w:right w:val="single" w:sz="8" w:space="0" w:color="auto"/>
            </w:tcBorders>
            <w:shd w:val="clear" w:color="auto" w:fill="F7CAAC" w:themeFill="accent2" w:themeFillTint="66"/>
            <w:noWrap/>
            <w:tcMar>
              <w:top w:w="0" w:type="dxa"/>
              <w:left w:w="70" w:type="dxa"/>
              <w:bottom w:w="0" w:type="dxa"/>
              <w:right w:w="70" w:type="dxa"/>
            </w:tcMar>
            <w:vAlign w:val="bottom"/>
            <w:hideMark/>
          </w:tcPr>
          <w:p w:rsidR="008B6F22" w:rsidRPr="004141BD" w:rsidRDefault="008B6F22" w:rsidP="00725AC8">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35</w:t>
            </w:r>
          </w:p>
        </w:tc>
      </w:tr>
      <w:tr w:rsidR="008B6F22" w:rsidRPr="004141BD"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Esmeraldas</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657</w:t>
            </w:r>
          </w:p>
        </w:tc>
      </w:tr>
      <w:tr w:rsidR="008B6F22" w:rsidRPr="004141BD" w:rsidTr="00725AC8">
        <w:trPr>
          <w:trHeight w:val="227"/>
          <w:jc w:val="center"/>
        </w:trPr>
        <w:tc>
          <w:tcPr>
            <w:tcW w:w="1217" w:type="dxa"/>
            <w:vMerge/>
            <w:tcBorders>
              <w:left w:val="single" w:sz="8" w:space="0" w:color="auto"/>
              <w:bottom w:val="single" w:sz="8" w:space="0" w:color="auto"/>
              <w:right w:val="single" w:sz="8" w:space="0" w:color="auto"/>
            </w:tcBorders>
            <w:shd w:val="clear" w:color="auto" w:fill="FF0000"/>
            <w:noWrap/>
            <w:tcMar>
              <w:top w:w="0" w:type="dxa"/>
              <w:left w:w="70" w:type="dxa"/>
              <w:bottom w:w="0" w:type="dxa"/>
              <w:right w:w="70" w:type="dxa"/>
            </w:tcMar>
            <w:vAlign w:val="center"/>
            <w:hideMark/>
          </w:tcPr>
          <w:p w:rsidR="008B6F22" w:rsidRPr="004141BD" w:rsidRDefault="008B6F22" w:rsidP="00725AC8">
            <w:pPr>
              <w:spacing w:after="0" w:line="240" w:lineRule="auto"/>
              <w:rPr>
                <w:rFonts w:ascii="Calibri" w:eastAsia="Calibri" w:hAnsi="Calibri" w:cs="Calibri"/>
                <w:color w:val="000000"/>
                <w:sz w:val="20"/>
                <w:lang w:eastAsia="es-EC"/>
              </w:rPr>
            </w:pPr>
          </w:p>
        </w:tc>
        <w:tc>
          <w:tcPr>
            <w:tcW w:w="12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Rural</w:t>
            </w:r>
          </w:p>
        </w:tc>
        <w:tc>
          <w:tcPr>
            <w:tcW w:w="1200" w:type="dxa"/>
            <w:tcBorders>
              <w:top w:val="nil"/>
              <w:left w:val="nil"/>
              <w:bottom w:val="single" w:sz="8" w:space="0" w:color="auto"/>
              <w:right w:val="single" w:sz="8" w:space="0" w:color="auto"/>
            </w:tcBorders>
            <w:shd w:val="clear" w:color="auto" w:fill="F7CAAC" w:themeFill="accent2" w:themeFillTint="66"/>
            <w:noWrap/>
            <w:tcMar>
              <w:top w:w="0" w:type="dxa"/>
              <w:left w:w="70" w:type="dxa"/>
              <w:bottom w:w="0" w:type="dxa"/>
              <w:right w:w="70" w:type="dxa"/>
            </w:tcMar>
            <w:vAlign w:val="bottom"/>
            <w:hideMark/>
          </w:tcPr>
          <w:p w:rsidR="008B6F22" w:rsidRPr="004141BD" w:rsidRDefault="008B6F22" w:rsidP="00725AC8">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74</w:t>
            </w:r>
          </w:p>
        </w:tc>
      </w:tr>
      <w:tr w:rsidR="008B6F22" w:rsidRPr="004141BD"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Guayaquil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8</w:t>
            </w:r>
            <w:r>
              <w:rPr>
                <w:rFonts w:ascii="Calibri" w:eastAsia="Calibri" w:hAnsi="Calibri" w:cs="Calibri"/>
                <w:color w:val="000000"/>
                <w:sz w:val="20"/>
                <w:lang w:eastAsia="es-EC"/>
              </w:rPr>
              <w:t>.</w:t>
            </w:r>
            <w:r w:rsidRPr="004141BD">
              <w:rPr>
                <w:rFonts w:ascii="Calibri" w:eastAsia="Calibri" w:hAnsi="Calibri" w:cs="Calibri"/>
                <w:color w:val="000000"/>
                <w:sz w:val="20"/>
                <w:lang w:eastAsia="es-EC"/>
              </w:rPr>
              <w:t>869</w:t>
            </w:r>
          </w:p>
        </w:tc>
      </w:tr>
      <w:tr w:rsidR="008B6F22" w:rsidRPr="004141BD" w:rsidTr="00725AC8">
        <w:trPr>
          <w:trHeight w:val="227"/>
          <w:jc w:val="center"/>
        </w:trPr>
        <w:tc>
          <w:tcPr>
            <w:tcW w:w="1217" w:type="dxa"/>
            <w:vMerge/>
            <w:tcBorders>
              <w:left w:val="single" w:sz="8" w:space="0" w:color="auto"/>
              <w:bottom w:val="single" w:sz="8" w:space="0" w:color="auto"/>
              <w:right w:val="single" w:sz="8" w:space="0" w:color="auto"/>
            </w:tcBorders>
            <w:shd w:val="clear" w:color="auto" w:fill="FF0000"/>
            <w:noWrap/>
            <w:tcMar>
              <w:top w:w="0" w:type="dxa"/>
              <w:left w:w="70" w:type="dxa"/>
              <w:bottom w:w="0" w:type="dxa"/>
              <w:right w:w="70" w:type="dxa"/>
            </w:tcMar>
            <w:vAlign w:val="center"/>
            <w:hideMark/>
          </w:tcPr>
          <w:p w:rsidR="008B6F22" w:rsidRPr="004141BD" w:rsidRDefault="008B6F22" w:rsidP="00725AC8">
            <w:pPr>
              <w:spacing w:after="0" w:line="240" w:lineRule="auto"/>
              <w:rPr>
                <w:rFonts w:ascii="Calibri" w:eastAsia="Calibri" w:hAnsi="Calibri" w:cs="Calibri"/>
                <w:color w:val="000000"/>
                <w:sz w:val="20"/>
                <w:lang w:eastAsia="es-EC"/>
              </w:rPr>
            </w:pPr>
          </w:p>
        </w:tc>
        <w:tc>
          <w:tcPr>
            <w:tcW w:w="12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Rural</w:t>
            </w:r>
          </w:p>
        </w:tc>
        <w:tc>
          <w:tcPr>
            <w:tcW w:w="1200" w:type="dxa"/>
            <w:tcBorders>
              <w:top w:val="nil"/>
              <w:left w:val="nil"/>
              <w:bottom w:val="single" w:sz="8" w:space="0" w:color="auto"/>
              <w:right w:val="single" w:sz="8" w:space="0" w:color="auto"/>
            </w:tcBorders>
            <w:shd w:val="clear" w:color="auto" w:fill="F7CAAC" w:themeFill="accent2" w:themeFillTint="66"/>
            <w:noWrap/>
            <w:tcMar>
              <w:top w:w="0" w:type="dxa"/>
              <w:left w:w="70" w:type="dxa"/>
              <w:bottom w:w="0" w:type="dxa"/>
              <w:right w:w="70" w:type="dxa"/>
            </w:tcMar>
            <w:vAlign w:val="bottom"/>
            <w:hideMark/>
          </w:tcPr>
          <w:p w:rsidR="008B6F22" w:rsidRPr="004141BD" w:rsidRDefault="008B6F22" w:rsidP="00725AC8">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59</w:t>
            </w:r>
          </w:p>
        </w:tc>
      </w:tr>
      <w:tr w:rsidR="008B6F22" w:rsidRPr="004141BD"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Loja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668</w:t>
            </w:r>
          </w:p>
        </w:tc>
      </w:tr>
      <w:tr w:rsidR="008B6F22" w:rsidRPr="004141BD" w:rsidTr="00725AC8">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8B6F22" w:rsidRPr="004141BD" w:rsidRDefault="008B6F22" w:rsidP="00725AC8">
            <w:pPr>
              <w:spacing w:after="0" w:line="240" w:lineRule="auto"/>
              <w:rPr>
                <w:rFonts w:ascii="Calibri" w:eastAsia="Calibri" w:hAnsi="Calibri"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131</w:t>
            </w:r>
          </w:p>
        </w:tc>
      </w:tr>
      <w:tr w:rsidR="008B6F22" w:rsidRPr="004141BD"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Manta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913</w:t>
            </w:r>
          </w:p>
        </w:tc>
      </w:tr>
      <w:tr w:rsidR="008B6F22" w:rsidRPr="004141BD" w:rsidTr="00725AC8">
        <w:trPr>
          <w:trHeight w:val="227"/>
          <w:jc w:val="center"/>
        </w:trPr>
        <w:tc>
          <w:tcPr>
            <w:tcW w:w="1217" w:type="dxa"/>
            <w:vMerge/>
            <w:tcBorders>
              <w:left w:val="single" w:sz="8" w:space="0" w:color="auto"/>
              <w:bottom w:val="single" w:sz="8" w:space="0" w:color="auto"/>
              <w:right w:val="single" w:sz="8" w:space="0" w:color="auto"/>
            </w:tcBorders>
            <w:shd w:val="clear" w:color="auto" w:fill="FF0000"/>
            <w:noWrap/>
            <w:tcMar>
              <w:top w:w="0" w:type="dxa"/>
              <w:left w:w="70" w:type="dxa"/>
              <w:bottom w:w="0" w:type="dxa"/>
              <w:right w:w="70" w:type="dxa"/>
            </w:tcMar>
            <w:vAlign w:val="center"/>
            <w:hideMark/>
          </w:tcPr>
          <w:p w:rsidR="008B6F22" w:rsidRPr="004141BD" w:rsidRDefault="008B6F22" w:rsidP="00725AC8">
            <w:pPr>
              <w:spacing w:after="0" w:line="240" w:lineRule="auto"/>
              <w:rPr>
                <w:rFonts w:ascii="Calibri" w:eastAsia="Calibri" w:hAnsi="Calibri" w:cs="Calibri"/>
                <w:color w:val="000000"/>
                <w:sz w:val="20"/>
                <w:lang w:eastAsia="es-EC"/>
              </w:rPr>
            </w:pPr>
          </w:p>
        </w:tc>
        <w:tc>
          <w:tcPr>
            <w:tcW w:w="12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Rural</w:t>
            </w:r>
          </w:p>
        </w:tc>
        <w:tc>
          <w:tcPr>
            <w:tcW w:w="1200" w:type="dxa"/>
            <w:tcBorders>
              <w:top w:val="nil"/>
              <w:left w:val="nil"/>
              <w:bottom w:val="single" w:sz="8" w:space="0" w:color="auto"/>
              <w:right w:val="single" w:sz="8" w:space="0" w:color="auto"/>
            </w:tcBorders>
            <w:shd w:val="clear" w:color="auto" w:fill="F7CAAC" w:themeFill="accent2" w:themeFillTint="66"/>
            <w:noWrap/>
            <w:tcMar>
              <w:top w:w="0" w:type="dxa"/>
              <w:left w:w="70" w:type="dxa"/>
              <w:bottom w:w="0" w:type="dxa"/>
              <w:right w:w="70" w:type="dxa"/>
            </w:tcMar>
            <w:vAlign w:val="bottom"/>
            <w:hideMark/>
          </w:tcPr>
          <w:p w:rsidR="008B6F22" w:rsidRPr="004141BD" w:rsidRDefault="008B6F22" w:rsidP="00725AC8">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7</w:t>
            </w:r>
          </w:p>
        </w:tc>
      </w:tr>
      <w:tr w:rsidR="008B6F22" w:rsidRPr="004141BD"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Quito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8</w:t>
            </w:r>
            <w:r>
              <w:rPr>
                <w:rFonts w:ascii="Calibri" w:eastAsia="Calibri" w:hAnsi="Calibri" w:cs="Calibri"/>
                <w:color w:val="000000"/>
                <w:sz w:val="20"/>
                <w:lang w:eastAsia="es-EC"/>
              </w:rPr>
              <w:t>.</w:t>
            </w:r>
            <w:r w:rsidRPr="004141BD">
              <w:rPr>
                <w:rFonts w:ascii="Calibri" w:eastAsia="Calibri" w:hAnsi="Calibri" w:cs="Calibri"/>
                <w:color w:val="000000"/>
                <w:sz w:val="20"/>
                <w:lang w:eastAsia="es-EC"/>
              </w:rPr>
              <w:t>096</w:t>
            </w:r>
          </w:p>
        </w:tc>
      </w:tr>
      <w:tr w:rsidR="008B6F22" w:rsidRPr="004141BD" w:rsidTr="00725AC8">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8B6F22" w:rsidRPr="004141BD" w:rsidRDefault="008B6F22" w:rsidP="00725AC8">
            <w:pPr>
              <w:spacing w:after="0" w:line="240" w:lineRule="auto"/>
              <w:rPr>
                <w:rFonts w:ascii="Calibri" w:eastAsia="Calibri" w:hAnsi="Calibri"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501</w:t>
            </w:r>
          </w:p>
        </w:tc>
      </w:tr>
      <w:tr w:rsidR="008B6F22" w:rsidRPr="004141BD"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Tungurahua</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953</w:t>
            </w:r>
          </w:p>
        </w:tc>
      </w:tr>
      <w:tr w:rsidR="008B6F22" w:rsidRPr="004141BD" w:rsidTr="00725AC8">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8B6F22" w:rsidRPr="004141BD" w:rsidRDefault="008B6F22" w:rsidP="00725AC8">
            <w:pPr>
              <w:spacing w:after="0" w:line="240" w:lineRule="auto"/>
              <w:rPr>
                <w:rFonts w:ascii="Calibri" w:eastAsia="Calibri" w:hAnsi="Calibri"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384</w:t>
            </w:r>
          </w:p>
        </w:tc>
      </w:tr>
      <w:tr w:rsidR="008B6F22" w:rsidRPr="004141BD" w:rsidTr="00725AC8">
        <w:trPr>
          <w:trHeight w:val="227"/>
          <w:jc w:val="center"/>
        </w:trPr>
        <w:tc>
          <w:tcPr>
            <w:tcW w:w="1217" w:type="dxa"/>
            <w:vMerge w:val="restart"/>
            <w:tcBorders>
              <w:top w:val="nil"/>
              <w:left w:val="single" w:sz="8" w:space="0" w:color="auto"/>
              <w:right w:val="single" w:sz="8" w:space="0" w:color="auto"/>
            </w:tcBorders>
            <w:noWrap/>
            <w:tcMar>
              <w:top w:w="0" w:type="dxa"/>
              <w:left w:w="70" w:type="dxa"/>
              <w:bottom w:w="0" w:type="dxa"/>
              <w:right w:w="70" w:type="dxa"/>
            </w:tcMar>
            <w:vAlign w:val="center"/>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Santo Domingo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Urbano</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1</w:t>
            </w:r>
            <w:r>
              <w:rPr>
                <w:rFonts w:ascii="Calibri" w:eastAsia="Calibri" w:hAnsi="Calibri" w:cs="Calibri"/>
                <w:color w:val="000000"/>
                <w:sz w:val="20"/>
                <w:lang w:eastAsia="es-EC"/>
              </w:rPr>
              <w:t>.</w:t>
            </w:r>
            <w:r w:rsidRPr="004141BD">
              <w:rPr>
                <w:rFonts w:ascii="Calibri" w:eastAsia="Calibri" w:hAnsi="Calibri" w:cs="Calibri"/>
                <w:color w:val="000000"/>
                <w:sz w:val="20"/>
                <w:lang w:eastAsia="es-EC"/>
              </w:rPr>
              <w:t>254</w:t>
            </w:r>
          </w:p>
        </w:tc>
      </w:tr>
      <w:tr w:rsidR="008B6F22" w:rsidRPr="004141BD" w:rsidTr="00725AC8">
        <w:trPr>
          <w:trHeight w:val="227"/>
          <w:jc w:val="center"/>
        </w:trPr>
        <w:tc>
          <w:tcPr>
            <w:tcW w:w="1217" w:type="dxa"/>
            <w:vMerge/>
            <w:tcBorders>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color w:val="000000"/>
                <w:sz w:val="20"/>
                <w:lang w:eastAsia="es-EC"/>
              </w:rPr>
            </w:pP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rPr>
                <w:rFonts w:ascii="Calibri" w:eastAsia="Calibri" w:hAnsi="Calibri" w:cs="Calibri"/>
                <w:color w:val="000000"/>
                <w:sz w:val="20"/>
                <w:lang w:eastAsia="es-EC"/>
              </w:rPr>
            </w:pPr>
            <w:r w:rsidRPr="004141BD">
              <w:rPr>
                <w:rFonts w:ascii="Calibri" w:eastAsia="Calibri" w:hAnsi="Calibri" w:cs="Calibri"/>
                <w:color w:val="000000"/>
                <w:sz w:val="20"/>
                <w:lang w:eastAsia="es-EC"/>
              </w:rPr>
              <w:t>Rural</w:t>
            </w:r>
          </w:p>
        </w:tc>
        <w:tc>
          <w:tcPr>
            <w:tcW w:w="12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8B6F22" w:rsidRPr="004141BD" w:rsidRDefault="008B6F22" w:rsidP="00725AC8">
            <w:pPr>
              <w:spacing w:after="0" w:line="240" w:lineRule="auto"/>
              <w:jc w:val="right"/>
              <w:rPr>
                <w:rFonts w:ascii="Calibri" w:eastAsia="Calibri" w:hAnsi="Calibri" w:cs="Calibri"/>
                <w:color w:val="000000"/>
                <w:sz w:val="20"/>
                <w:lang w:eastAsia="es-EC"/>
              </w:rPr>
            </w:pPr>
            <w:r w:rsidRPr="004141BD">
              <w:rPr>
                <w:rFonts w:ascii="Calibri" w:eastAsia="Calibri" w:hAnsi="Calibri" w:cs="Calibri"/>
                <w:color w:val="000000"/>
                <w:sz w:val="20"/>
                <w:lang w:eastAsia="es-EC"/>
              </w:rPr>
              <w:t>235</w:t>
            </w:r>
          </w:p>
        </w:tc>
      </w:tr>
    </w:tbl>
    <w:p w:rsidR="008B6F22" w:rsidRDefault="008B6F22" w:rsidP="008B6F22">
      <w:pPr>
        <w:rPr>
          <w:lang w:val="es-ES"/>
        </w:rPr>
      </w:pPr>
      <w:r>
        <w:rPr>
          <w:lang w:val="es-ES"/>
        </w:rPr>
        <w:t xml:space="preserve">                                          </w:t>
      </w:r>
    </w:p>
    <w:p w:rsidR="008B6F22" w:rsidRDefault="008B6F22" w:rsidP="008B6F22">
      <w:pPr>
        <w:rPr>
          <w:lang w:val="es-ES"/>
        </w:rPr>
      </w:pPr>
      <w:r>
        <w:rPr>
          <w:lang w:val="es-ES"/>
        </w:rPr>
        <w:t>Los cantones Machala, Esmeraldas, Guayaquil y Manta en su parte rural tienen un número insuficiente de UPM</w:t>
      </w:r>
      <w:r w:rsidR="00677481">
        <w:rPr>
          <w:lang w:val="es-ES"/>
        </w:rPr>
        <w:t xml:space="preserve"> (por recomendación de CEPAL estrato consolidado no debe tener menos de 100 UPM)</w:t>
      </w:r>
      <w:r>
        <w:rPr>
          <w:lang w:val="es-ES"/>
        </w:rPr>
        <w:t xml:space="preserve"> para poderlas considerar como un dominio geográfico de estratificación, por tal motivo para los cantones mencionados solo se considerará su parte urbana como dominio geográfico de estratificación esto implica que el cantón por completo no se puede considerar como dominio de diseño.</w:t>
      </w:r>
    </w:p>
    <w:p w:rsidR="00677481" w:rsidRPr="00677481" w:rsidRDefault="00677481" w:rsidP="008B6F22">
      <w:pPr>
        <w:rPr>
          <w:lang w:val="es-ES"/>
        </w:rPr>
      </w:pPr>
      <w:r>
        <w:rPr>
          <w:lang w:val="es-ES"/>
        </w:rPr>
        <w:t xml:space="preserve">Aprovechando esta restructuración como resultado del taller se solicitó a la DINEM recalcular el tamaño muestral de la ENCIET usando como </w:t>
      </w:r>
      <w:r w:rsidRPr="00677481">
        <w:rPr>
          <w:lang w:val="es-ES"/>
        </w:rPr>
        <w:t>variables de diseño</w:t>
      </w:r>
      <w:r w:rsidRPr="00677481">
        <w:rPr>
          <w:b/>
          <w:lang w:val="es-ES"/>
        </w:rPr>
        <w:t xml:space="preserve"> el desempleo </w:t>
      </w:r>
      <w:r w:rsidRPr="00677481">
        <w:rPr>
          <w:lang w:val="es-ES"/>
        </w:rPr>
        <w:t xml:space="preserve">(como aproximación a la desocupación) </w:t>
      </w:r>
      <w:r w:rsidRPr="00677481">
        <w:rPr>
          <w:b/>
          <w:lang w:val="es-ES"/>
        </w:rPr>
        <w:t xml:space="preserve">y la pobreza por ingreso, </w:t>
      </w:r>
      <w:r w:rsidRPr="00677481">
        <w:rPr>
          <w:lang w:val="es-ES"/>
        </w:rPr>
        <w:t xml:space="preserve">teniendo en cuenta que el tamaño muestral no puede superar las </w:t>
      </w:r>
      <w:r w:rsidRPr="00677481">
        <w:rPr>
          <w:b/>
          <w:lang w:val="es-ES"/>
        </w:rPr>
        <w:t>9</w:t>
      </w:r>
      <w:r>
        <w:rPr>
          <w:b/>
          <w:lang w:val="es-ES"/>
        </w:rPr>
        <w:t>.</w:t>
      </w:r>
      <w:r w:rsidRPr="00677481">
        <w:rPr>
          <w:b/>
          <w:lang w:val="es-ES"/>
        </w:rPr>
        <w:t>016 viviendas efectivas</w:t>
      </w:r>
      <w:r>
        <w:rPr>
          <w:b/>
          <w:lang w:val="es-ES"/>
        </w:rPr>
        <w:t xml:space="preserve"> por mes</w:t>
      </w:r>
      <w:r w:rsidRPr="00677481">
        <w:rPr>
          <w:b/>
          <w:lang w:val="es-ES"/>
        </w:rPr>
        <w:t>.</w:t>
      </w:r>
      <w:r>
        <w:rPr>
          <w:b/>
          <w:lang w:val="es-ES"/>
        </w:rPr>
        <w:t xml:space="preserve"> </w:t>
      </w:r>
      <w:r>
        <w:rPr>
          <w:lang w:val="es-ES"/>
        </w:rPr>
        <w:t>Esto se convierte en un ejercicio de redistribución de la muestra actual.</w:t>
      </w:r>
    </w:p>
    <w:p w:rsidR="008B6F22" w:rsidRDefault="008B6F22" w:rsidP="008B6F22">
      <w:pPr>
        <w:rPr>
          <w:lang w:val="es-ES"/>
        </w:rPr>
      </w:pPr>
      <w:r>
        <w:rPr>
          <w:lang w:val="es-ES"/>
        </w:rPr>
        <w:t>En la ENCIET los dominios quedan definidos de la siguiente manera:</w:t>
      </w:r>
    </w:p>
    <w:p w:rsidR="008B6F22" w:rsidRPr="008B6F22" w:rsidRDefault="008B6F22" w:rsidP="008B6F22">
      <w:pPr>
        <w:pStyle w:val="Prrafodelista"/>
        <w:numPr>
          <w:ilvl w:val="0"/>
          <w:numId w:val="1"/>
        </w:numPr>
        <w:rPr>
          <w:lang w:val="es-ES"/>
        </w:rPr>
      </w:pPr>
      <w:r>
        <w:rPr>
          <w:lang w:val="es-ES"/>
        </w:rPr>
        <w:t>Mensual</w:t>
      </w:r>
      <w:r w:rsidRPr="008B6F22">
        <w:rPr>
          <w:lang w:val="es-ES"/>
        </w:rPr>
        <w:t>: Nacional, urbano y rural.</w:t>
      </w:r>
    </w:p>
    <w:p w:rsidR="008B6F22" w:rsidRPr="008B6F22" w:rsidRDefault="008B6F22" w:rsidP="008B6F22">
      <w:pPr>
        <w:pStyle w:val="Prrafodelista"/>
        <w:numPr>
          <w:ilvl w:val="0"/>
          <w:numId w:val="1"/>
        </w:numPr>
        <w:rPr>
          <w:lang w:val="es-ES"/>
        </w:rPr>
      </w:pPr>
      <w:r w:rsidRPr="008B6F22">
        <w:rPr>
          <w:lang w:val="es-ES"/>
        </w:rPr>
        <w:t>Semestr</w:t>
      </w:r>
      <w:r>
        <w:rPr>
          <w:lang w:val="es-ES"/>
        </w:rPr>
        <w:t>al</w:t>
      </w:r>
      <w:r w:rsidRPr="008B6F22">
        <w:rPr>
          <w:lang w:val="es-ES"/>
        </w:rPr>
        <w:t>: Nacional, urbano, rural y 6 cantones (Cuenca, Riobamba, Loja, Quito, Ambato y Santo Domingo) y 4 cantones urbanos (Machala, Esmeraldas, Guayaquil y Manta).</w:t>
      </w:r>
    </w:p>
    <w:p w:rsidR="008B6F22" w:rsidRDefault="008B6F22" w:rsidP="008B6F22">
      <w:pPr>
        <w:pStyle w:val="Prrafodelista"/>
        <w:numPr>
          <w:ilvl w:val="0"/>
          <w:numId w:val="1"/>
        </w:numPr>
        <w:rPr>
          <w:lang w:val="es-ES"/>
        </w:rPr>
      </w:pPr>
      <w:r w:rsidRPr="008B6F22">
        <w:rPr>
          <w:lang w:val="es-ES"/>
        </w:rPr>
        <w:t>Anual: Nacional, urbano, rural, provincial y 6 cantones (Cuenca, Riobamba, Loja, Quito, Ambato y Santo Domingo) y 4 cantones urbanos (Machala, Esmeraldas, Guayaquil y Manta.</w:t>
      </w:r>
    </w:p>
    <w:p w:rsidR="008B6F22" w:rsidRDefault="008B6F22" w:rsidP="008B6F22">
      <w:pPr>
        <w:rPr>
          <w:lang w:val="es-ES"/>
        </w:rPr>
      </w:pPr>
      <w:r>
        <w:rPr>
          <w:lang w:val="es-ES"/>
        </w:rPr>
        <w:t>Se planifica que a partir de julio 2025 la ENCIET tome el lugar de la ENEMDU como fuente oficial de reportes de datos de fuerza de trabajo, lo que implicaría que los dominios de la ENCIET se convertirán en los dominios de la “Nueva ENEMDU”.</w:t>
      </w:r>
    </w:p>
    <w:p w:rsidR="008B6F22" w:rsidRDefault="008B6F22" w:rsidP="008B6F22">
      <w:pPr>
        <w:rPr>
          <w:lang w:val="es-ES"/>
        </w:rPr>
      </w:pPr>
      <w:r>
        <w:rPr>
          <w:lang w:val="es-ES"/>
        </w:rPr>
        <w:t>Mientras que en la ENIGHUR 2024 – 2025 los dominios de estudio son:</w:t>
      </w:r>
    </w:p>
    <w:p w:rsidR="008B6F22" w:rsidRPr="008B6F22" w:rsidRDefault="008B6F22" w:rsidP="008B6F22">
      <w:pPr>
        <w:pStyle w:val="Prrafodelista"/>
        <w:numPr>
          <w:ilvl w:val="0"/>
          <w:numId w:val="2"/>
        </w:numPr>
        <w:rPr>
          <w:lang w:val="es-ES"/>
        </w:rPr>
      </w:pPr>
      <w:r w:rsidRPr="008B6F22">
        <w:rPr>
          <w:lang w:val="es-ES"/>
        </w:rPr>
        <w:t xml:space="preserve">Nacional, </w:t>
      </w:r>
    </w:p>
    <w:p w:rsidR="008B6F22" w:rsidRPr="008B6F22" w:rsidRDefault="008B6F22" w:rsidP="008B6F22">
      <w:pPr>
        <w:pStyle w:val="Prrafodelista"/>
        <w:numPr>
          <w:ilvl w:val="0"/>
          <w:numId w:val="2"/>
        </w:numPr>
        <w:rPr>
          <w:lang w:val="es-ES"/>
        </w:rPr>
      </w:pPr>
      <w:r w:rsidRPr="008B6F22">
        <w:rPr>
          <w:lang w:val="es-ES"/>
        </w:rPr>
        <w:t>urbano, rural,</w:t>
      </w:r>
    </w:p>
    <w:p w:rsidR="008B6F22" w:rsidRPr="008B6F22" w:rsidRDefault="008B6F22" w:rsidP="008B6F22">
      <w:pPr>
        <w:pStyle w:val="Prrafodelista"/>
        <w:numPr>
          <w:ilvl w:val="0"/>
          <w:numId w:val="2"/>
        </w:numPr>
        <w:rPr>
          <w:lang w:val="es-ES"/>
        </w:rPr>
      </w:pPr>
      <w:r w:rsidRPr="008B6F22">
        <w:rPr>
          <w:lang w:val="es-ES"/>
        </w:rPr>
        <w:t>24 provincias,</w:t>
      </w:r>
    </w:p>
    <w:p w:rsidR="008B6F22" w:rsidRPr="008B6F22" w:rsidRDefault="008B6F22" w:rsidP="008B6F22">
      <w:pPr>
        <w:pStyle w:val="Prrafodelista"/>
        <w:numPr>
          <w:ilvl w:val="0"/>
          <w:numId w:val="2"/>
        </w:numPr>
        <w:rPr>
          <w:lang w:val="es-ES"/>
        </w:rPr>
      </w:pPr>
      <w:r w:rsidRPr="008B6F22">
        <w:rPr>
          <w:lang w:val="es-ES"/>
        </w:rPr>
        <w:t>5 cantones (Cuenca, Loja, Quito, Ambato y Santo Domingo) y</w:t>
      </w:r>
    </w:p>
    <w:p w:rsidR="008B6F22" w:rsidRPr="008B6F22" w:rsidRDefault="008B6F22" w:rsidP="008B6F22">
      <w:pPr>
        <w:pStyle w:val="Prrafodelista"/>
        <w:numPr>
          <w:ilvl w:val="0"/>
          <w:numId w:val="2"/>
        </w:numPr>
        <w:rPr>
          <w:lang w:val="es-ES"/>
        </w:rPr>
      </w:pPr>
      <w:r w:rsidRPr="008B6F22">
        <w:rPr>
          <w:lang w:val="es-ES"/>
        </w:rPr>
        <w:t>4 cantones urbanos (Machala, Esmeraldas, Guayaquil y Manta)</w:t>
      </w:r>
      <w:r>
        <w:rPr>
          <w:lang w:val="es-ES"/>
        </w:rPr>
        <w:t>.</w:t>
      </w:r>
    </w:p>
    <w:p w:rsidR="00A5158D" w:rsidRDefault="00A5158D"/>
    <w:sectPr w:rsidR="00A515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5242"/>
    <w:multiLevelType w:val="hybridMultilevel"/>
    <w:tmpl w:val="C47ECE5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
    <w:nsid w:val="7A0A2B6B"/>
    <w:multiLevelType w:val="hybridMultilevel"/>
    <w:tmpl w:val="C63ED2B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24C"/>
    <w:rsid w:val="0050224C"/>
    <w:rsid w:val="00677481"/>
    <w:rsid w:val="008B6F22"/>
    <w:rsid w:val="00A5158D"/>
    <w:rsid w:val="00E5261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2F4A0-B6A6-4030-AB2F-52ED4831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F22"/>
  </w:style>
  <w:style w:type="paragraph" w:styleId="Ttulo1">
    <w:name w:val="heading 1"/>
    <w:basedOn w:val="Normal"/>
    <w:next w:val="Normal"/>
    <w:link w:val="Ttulo1Car"/>
    <w:uiPriority w:val="9"/>
    <w:qFormat/>
    <w:rsid w:val="006774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774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6F22"/>
    <w:pPr>
      <w:ind w:left="720"/>
      <w:contextualSpacing/>
    </w:pPr>
  </w:style>
  <w:style w:type="character" w:customStyle="1" w:styleId="Ttulo1Car">
    <w:name w:val="Título 1 Car"/>
    <w:basedOn w:val="Fuentedeprrafopredeter"/>
    <w:link w:val="Ttulo1"/>
    <w:uiPriority w:val="9"/>
    <w:rsid w:val="0067748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774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633</Words>
  <Characters>3486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INEC Angel Gaibor</dc:creator>
  <cp:keywords/>
  <dc:description/>
  <cp:lastModifiedBy>INEC Angel Gaibor</cp:lastModifiedBy>
  <cp:revision>2</cp:revision>
  <dcterms:created xsi:type="dcterms:W3CDTF">2024-05-15T14:04:00Z</dcterms:created>
  <dcterms:modified xsi:type="dcterms:W3CDTF">2024-05-15T14:22:00Z</dcterms:modified>
</cp:coreProperties>
</file>