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22286" w14:textId="5BF11840" w:rsidR="008715A0" w:rsidRPr="0035305D" w:rsidRDefault="008715A0" w:rsidP="00590F1B">
      <w:pPr>
        <w:pStyle w:val="Ttulo1"/>
        <w:jc w:val="both"/>
        <w:rPr>
          <w:rFonts w:ascii="Century Gothic" w:hAnsi="Century Gothic"/>
          <w:lang w:val="es-ES"/>
        </w:rPr>
      </w:pPr>
      <w:r w:rsidRPr="0035305D">
        <w:rPr>
          <w:rFonts w:ascii="Century Gothic" w:hAnsi="Century Gothic"/>
          <w:lang w:val="es-ES"/>
        </w:rPr>
        <w:t xml:space="preserve">Definición de </w:t>
      </w:r>
      <w:r w:rsidR="006161DD" w:rsidRPr="0035305D">
        <w:rPr>
          <w:rFonts w:ascii="Century Gothic" w:hAnsi="Century Gothic"/>
          <w:lang w:val="es-ES"/>
        </w:rPr>
        <w:t>reemplazos para la Nueva Encuesta de Empleo y Desempleo (ENEMDU)</w:t>
      </w:r>
    </w:p>
    <w:p w14:paraId="29B3545C" w14:textId="77777777" w:rsidR="008715A0" w:rsidRPr="0035305D" w:rsidRDefault="008715A0" w:rsidP="00590F1B">
      <w:pPr>
        <w:jc w:val="both"/>
        <w:rPr>
          <w:rFonts w:ascii="Century Gothic" w:hAnsi="Century Gothic"/>
          <w:b/>
          <w:lang w:val="es-ES"/>
        </w:rPr>
      </w:pPr>
    </w:p>
    <w:p w14:paraId="5FB8138E" w14:textId="77777777" w:rsidR="008715A0" w:rsidRPr="0035305D" w:rsidRDefault="008715A0" w:rsidP="00590F1B">
      <w:pPr>
        <w:pStyle w:val="Ttulo2"/>
        <w:jc w:val="both"/>
        <w:rPr>
          <w:rFonts w:ascii="Century Gothic" w:hAnsi="Century Gothic"/>
          <w:lang w:val="es-ES"/>
        </w:rPr>
      </w:pPr>
      <w:r w:rsidRPr="0035305D">
        <w:rPr>
          <w:rFonts w:ascii="Century Gothic" w:hAnsi="Century Gothic"/>
          <w:lang w:val="es-ES"/>
        </w:rPr>
        <w:t>Introducción</w:t>
      </w:r>
    </w:p>
    <w:p w14:paraId="4214BC32" w14:textId="77777777" w:rsidR="00CA0266" w:rsidRPr="0035305D" w:rsidRDefault="00CA0266" w:rsidP="00590F1B">
      <w:pPr>
        <w:jc w:val="both"/>
        <w:rPr>
          <w:rFonts w:ascii="Century Gothic" w:hAnsi="Century Gothic"/>
          <w:lang w:val="es-ES"/>
        </w:rPr>
      </w:pPr>
    </w:p>
    <w:p w14:paraId="0BD96148" w14:textId="3EF8C212" w:rsidR="00CA0266" w:rsidRPr="0035305D" w:rsidRDefault="005A7462" w:rsidP="00590F1B">
      <w:pPr>
        <w:jc w:val="both"/>
        <w:rPr>
          <w:rFonts w:ascii="Century Gothic" w:hAnsi="Century Gothic"/>
          <w:lang w:val="es-ES"/>
        </w:rPr>
      </w:pPr>
      <w:r w:rsidRPr="0035305D">
        <w:rPr>
          <w:rFonts w:ascii="Century Gothic" w:hAnsi="Century Gothic"/>
          <w:lang w:val="es-ES"/>
        </w:rPr>
        <w:t>Durante el taller de definiciones para la construcción del Marco de Muestreo, celebrado del 6 al 7 de mayo de 2024, se tomaron decisiones cruciales para elaborar el Marco Muestral y avanzar en el desarrollo de diversas encuestas intercensales. Como resultado de este taller, se convocó a una sesión del Comité de Producción Estadística. En dicha sesión, se requiere un justificativo técnico sobre la utilización de viviendas/UPM de reemplazo en la ENCIET.</w:t>
      </w:r>
    </w:p>
    <w:p w14:paraId="7C852456" w14:textId="77777777" w:rsidR="0035305D" w:rsidRDefault="0035305D" w:rsidP="00590F1B">
      <w:pPr>
        <w:pStyle w:val="Ttulo2"/>
        <w:jc w:val="both"/>
        <w:rPr>
          <w:rFonts w:ascii="Century Gothic" w:hAnsi="Century Gothic"/>
          <w:lang w:val="es-ES"/>
        </w:rPr>
      </w:pPr>
    </w:p>
    <w:p w14:paraId="6D57D5E8" w14:textId="20B93724" w:rsidR="00C8014E" w:rsidRPr="0035305D" w:rsidRDefault="00C8014E" w:rsidP="00590F1B">
      <w:pPr>
        <w:pStyle w:val="Ttulo2"/>
        <w:jc w:val="both"/>
        <w:rPr>
          <w:rFonts w:ascii="Century Gothic" w:hAnsi="Century Gothic"/>
          <w:lang w:val="es-ES"/>
        </w:rPr>
      </w:pPr>
      <w:r w:rsidRPr="0035305D">
        <w:rPr>
          <w:rFonts w:ascii="Century Gothic" w:hAnsi="Century Gothic"/>
          <w:lang w:val="es-ES"/>
        </w:rPr>
        <w:t>Diseño Muestral de la Encuesta Nacional de Empleo, Desempleo y Subempleo (ENEMDU)</w:t>
      </w:r>
      <w:r w:rsidR="006161DD" w:rsidRPr="0035305D">
        <w:rPr>
          <w:rFonts w:ascii="Century Gothic" w:hAnsi="Century Gothic"/>
          <w:lang w:val="es-ES"/>
        </w:rPr>
        <w:t xml:space="preserve"> - oficial</w:t>
      </w:r>
    </w:p>
    <w:p w14:paraId="09CBB422" w14:textId="77777777" w:rsidR="00590F1B" w:rsidRPr="0035305D" w:rsidRDefault="00590F1B" w:rsidP="00590F1B">
      <w:pPr>
        <w:jc w:val="both"/>
        <w:rPr>
          <w:rFonts w:ascii="Century Gothic" w:hAnsi="Century Gothic"/>
          <w:lang w:val="es-ES"/>
        </w:rPr>
      </w:pPr>
    </w:p>
    <w:p w14:paraId="2DDA6E0A" w14:textId="63FA062C" w:rsidR="00C8014E" w:rsidRPr="0035305D" w:rsidRDefault="00C8014E" w:rsidP="00590F1B">
      <w:pPr>
        <w:jc w:val="both"/>
        <w:rPr>
          <w:rFonts w:ascii="Century Gothic" w:hAnsi="Century Gothic"/>
          <w:lang w:val="es-ES"/>
        </w:rPr>
      </w:pPr>
      <w:r w:rsidRPr="0035305D">
        <w:rPr>
          <w:rFonts w:ascii="Century Gothic" w:hAnsi="Century Gothic"/>
          <w:lang w:val="es-ES"/>
        </w:rPr>
        <w:t>Marco Muestral:</w:t>
      </w:r>
    </w:p>
    <w:p w14:paraId="2FBC41E9" w14:textId="2C754B4C" w:rsidR="00C8014E" w:rsidRPr="0035305D" w:rsidRDefault="00C8014E" w:rsidP="00590F1B">
      <w:pPr>
        <w:pStyle w:val="Prrafodelista"/>
        <w:numPr>
          <w:ilvl w:val="0"/>
          <w:numId w:val="5"/>
        </w:numPr>
        <w:jc w:val="both"/>
        <w:rPr>
          <w:rFonts w:ascii="Century Gothic" w:hAnsi="Century Gothic"/>
          <w:lang w:val="es-ES"/>
        </w:rPr>
      </w:pPr>
      <w:r w:rsidRPr="0035305D">
        <w:rPr>
          <w:rFonts w:ascii="Century Gothic" w:hAnsi="Century Gothic"/>
          <w:lang w:val="es-ES"/>
        </w:rPr>
        <w:t xml:space="preserve">El marco muestral de la ENEMDU está basado en la última actualización </w:t>
      </w:r>
      <w:r w:rsidRPr="0035305D">
        <w:rPr>
          <w:rFonts w:ascii="Century Gothic" w:hAnsi="Century Gothic"/>
          <w:lang w:val="es-ES"/>
        </w:rPr>
        <w:t>realizad</w:t>
      </w:r>
      <w:r w:rsidR="006161DD" w:rsidRPr="0035305D">
        <w:rPr>
          <w:rFonts w:ascii="Century Gothic" w:hAnsi="Century Gothic"/>
          <w:lang w:val="es-ES"/>
        </w:rPr>
        <w:t>a</w:t>
      </w:r>
      <w:r w:rsidRPr="0035305D">
        <w:rPr>
          <w:rFonts w:ascii="Century Gothic" w:hAnsi="Century Gothic"/>
          <w:lang w:val="es-ES"/>
        </w:rPr>
        <w:t xml:space="preserve"> para el Censo de Población y Vivienda 2010.</w:t>
      </w:r>
    </w:p>
    <w:p w14:paraId="64395E09" w14:textId="744429D8" w:rsidR="00C8014E" w:rsidRPr="0035305D" w:rsidRDefault="00C8014E" w:rsidP="00590F1B">
      <w:pPr>
        <w:pStyle w:val="Prrafodelista"/>
        <w:numPr>
          <w:ilvl w:val="0"/>
          <w:numId w:val="5"/>
        </w:numPr>
        <w:jc w:val="both"/>
        <w:rPr>
          <w:rFonts w:ascii="Century Gothic" w:hAnsi="Century Gothic"/>
          <w:lang w:val="es-ES"/>
        </w:rPr>
      </w:pPr>
      <w:r w:rsidRPr="0035305D">
        <w:rPr>
          <w:rFonts w:ascii="Century Gothic" w:hAnsi="Century Gothic"/>
          <w:lang w:val="es-ES"/>
        </w:rPr>
        <w:t>El marco incluye listas de unidades primarias de muestreo (UPM) que cubren todas las áreas urbanas y rurales del país.</w:t>
      </w:r>
    </w:p>
    <w:p w14:paraId="3AB79C43" w14:textId="5B3F7F3D" w:rsidR="00C8014E" w:rsidRPr="0035305D" w:rsidRDefault="00C8014E" w:rsidP="00590F1B">
      <w:pPr>
        <w:jc w:val="both"/>
        <w:rPr>
          <w:rFonts w:ascii="Century Gothic" w:hAnsi="Century Gothic"/>
          <w:lang w:val="es-ES"/>
        </w:rPr>
      </w:pPr>
      <w:r w:rsidRPr="0035305D">
        <w:rPr>
          <w:rFonts w:ascii="Century Gothic" w:hAnsi="Century Gothic"/>
          <w:lang w:val="es-ES"/>
        </w:rPr>
        <w:t>Unidades Primarias de Muestreo (UPM):</w:t>
      </w:r>
    </w:p>
    <w:p w14:paraId="30F299B2" w14:textId="74272CCA" w:rsidR="00C8014E" w:rsidRPr="0035305D" w:rsidRDefault="00C8014E" w:rsidP="00590F1B">
      <w:pPr>
        <w:pStyle w:val="Prrafodelista"/>
        <w:numPr>
          <w:ilvl w:val="0"/>
          <w:numId w:val="5"/>
        </w:numPr>
        <w:jc w:val="both"/>
        <w:rPr>
          <w:rFonts w:ascii="Century Gothic" w:hAnsi="Century Gothic"/>
          <w:lang w:val="es-ES"/>
        </w:rPr>
      </w:pPr>
      <w:r w:rsidRPr="0035305D">
        <w:rPr>
          <w:rFonts w:ascii="Century Gothic" w:hAnsi="Century Gothic"/>
          <w:lang w:val="es-ES"/>
        </w:rPr>
        <w:t>Las UPM son áreas geográficas definidas, como segmentos</w:t>
      </w:r>
      <w:r w:rsidRPr="0035305D">
        <w:rPr>
          <w:rFonts w:ascii="Century Gothic" w:hAnsi="Century Gothic"/>
          <w:lang w:val="es-ES"/>
        </w:rPr>
        <w:t xml:space="preserve"> </w:t>
      </w:r>
      <w:r w:rsidRPr="0035305D">
        <w:rPr>
          <w:rFonts w:ascii="Century Gothic" w:hAnsi="Century Gothic"/>
          <w:lang w:val="es-ES"/>
        </w:rPr>
        <w:t xml:space="preserve">en áreas urbanas y </w:t>
      </w:r>
      <w:r w:rsidRPr="0035305D">
        <w:rPr>
          <w:rFonts w:ascii="Century Gothic" w:hAnsi="Century Gothic"/>
          <w:lang w:val="es-ES"/>
        </w:rPr>
        <w:t xml:space="preserve">en </w:t>
      </w:r>
      <w:r w:rsidRPr="0035305D">
        <w:rPr>
          <w:rFonts w:ascii="Century Gothic" w:hAnsi="Century Gothic"/>
          <w:lang w:val="es-ES"/>
        </w:rPr>
        <w:t>áreas rurales.</w:t>
      </w:r>
    </w:p>
    <w:p w14:paraId="65FF15F5" w14:textId="7D82E7F2" w:rsidR="00C8014E" w:rsidRPr="0035305D" w:rsidRDefault="00C8014E" w:rsidP="00590F1B">
      <w:pPr>
        <w:pStyle w:val="Prrafodelista"/>
        <w:numPr>
          <w:ilvl w:val="0"/>
          <w:numId w:val="5"/>
        </w:numPr>
        <w:jc w:val="both"/>
        <w:rPr>
          <w:rFonts w:ascii="Century Gothic" w:hAnsi="Century Gothic"/>
          <w:lang w:val="es-ES"/>
        </w:rPr>
      </w:pPr>
      <w:r w:rsidRPr="0035305D">
        <w:rPr>
          <w:rFonts w:ascii="Century Gothic" w:hAnsi="Century Gothic"/>
          <w:lang w:val="es-ES"/>
        </w:rPr>
        <w:t>Se seleccionan mediante un muestreo probabilístico estratificado y por conglomerados.</w:t>
      </w:r>
    </w:p>
    <w:p w14:paraId="6C53C63F" w14:textId="3562E699" w:rsidR="00C8014E" w:rsidRPr="0035305D" w:rsidRDefault="00C8014E" w:rsidP="00590F1B">
      <w:pPr>
        <w:jc w:val="both"/>
        <w:rPr>
          <w:rFonts w:ascii="Century Gothic" w:hAnsi="Century Gothic"/>
          <w:lang w:val="es-ES"/>
        </w:rPr>
      </w:pPr>
      <w:r w:rsidRPr="0035305D">
        <w:rPr>
          <w:rFonts w:ascii="Century Gothic" w:hAnsi="Century Gothic"/>
          <w:lang w:val="es-ES"/>
        </w:rPr>
        <w:t>Estratificación:</w:t>
      </w:r>
    </w:p>
    <w:p w14:paraId="64E95E1D" w14:textId="322C83D9" w:rsidR="00C8014E" w:rsidRPr="0035305D" w:rsidRDefault="00C8014E" w:rsidP="00590F1B">
      <w:pPr>
        <w:pStyle w:val="Prrafodelista"/>
        <w:numPr>
          <w:ilvl w:val="0"/>
          <w:numId w:val="9"/>
        </w:numPr>
        <w:jc w:val="both"/>
        <w:rPr>
          <w:rFonts w:ascii="Century Gothic" w:hAnsi="Century Gothic"/>
          <w:lang w:val="es-ES"/>
        </w:rPr>
      </w:pPr>
      <w:r w:rsidRPr="0035305D">
        <w:rPr>
          <w:rFonts w:ascii="Century Gothic" w:hAnsi="Century Gothic"/>
          <w:lang w:val="es-ES"/>
        </w:rPr>
        <w:t>El diseño muestral de la ENEMDU implica la estratificación de las UPM en función de criterios como la ubicación geográfica, el tamaño de la población y el nivel socioeconómico.</w:t>
      </w:r>
    </w:p>
    <w:p w14:paraId="67CC68DB" w14:textId="5684A5A6" w:rsidR="00C8014E" w:rsidRPr="0035305D" w:rsidRDefault="00C8014E" w:rsidP="00590F1B">
      <w:pPr>
        <w:pStyle w:val="Prrafodelista"/>
        <w:numPr>
          <w:ilvl w:val="0"/>
          <w:numId w:val="9"/>
        </w:numPr>
        <w:jc w:val="both"/>
        <w:rPr>
          <w:rFonts w:ascii="Century Gothic" w:hAnsi="Century Gothic"/>
          <w:lang w:val="es-ES"/>
        </w:rPr>
      </w:pPr>
      <w:r w:rsidRPr="0035305D">
        <w:rPr>
          <w:rFonts w:ascii="Century Gothic" w:hAnsi="Century Gothic"/>
          <w:lang w:val="es-ES"/>
        </w:rPr>
        <w:t>Esto garantiza una representación adecuada de las diferentes características del país en la muestra.</w:t>
      </w:r>
    </w:p>
    <w:p w14:paraId="58EE74BC" w14:textId="77777777" w:rsidR="00523FB9" w:rsidRPr="0035305D" w:rsidRDefault="00523FB9" w:rsidP="00590F1B">
      <w:pPr>
        <w:jc w:val="both"/>
        <w:rPr>
          <w:rFonts w:ascii="Century Gothic" w:hAnsi="Century Gothic"/>
          <w:lang w:val="es-ES"/>
        </w:rPr>
      </w:pPr>
      <w:r w:rsidRPr="0035305D">
        <w:rPr>
          <w:rFonts w:ascii="Century Gothic" w:hAnsi="Century Gothic"/>
          <w:lang w:val="es-ES"/>
        </w:rPr>
        <w:t>Dominios de diseño:</w:t>
      </w:r>
    </w:p>
    <w:p w14:paraId="4F013E24" w14:textId="77777777" w:rsidR="00523FB9" w:rsidRPr="0035305D" w:rsidRDefault="00523FB9" w:rsidP="00590F1B">
      <w:pPr>
        <w:pStyle w:val="Prrafodelista"/>
        <w:numPr>
          <w:ilvl w:val="0"/>
          <w:numId w:val="19"/>
        </w:numPr>
        <w:jc w:val="both"/>
        <w:rPr>
          <w:rFonts w:ascii="Century Gothic" w:hAnsi="Century Gothic"/>
          <w:lang w:val="es-ES"/>
        </w:rPr>
      </w:pPr>
      <w:r w:rsidRPr="0035305D">
        <w:rPr>
          <w:rFonts w:ascii="Century Gothic" w:hAnsi="Century Gothic"/>
          <w:lang w:val="es-ES"/>
        </w:rPr>
        <w:t>Mensual: Nacional, urbano y rural</w:t>
      </w:r>
    </w:p>
    <w:p w14:paraId="7DB9CFDA" w14:textId="77777777" w:rsidR="00523FB9" w:rsidRPr="0035305D" w:rsidRDefault="00523FB9" w:rsidP="00590F1B">
      <w:pPr>
        <w:pStyle w:val="Prrafodelista"/>
        <w:numPr>
          <w:ilvl w:val="0"/>
          <w:numId w:val="19"/>
        </w:numPr>
        <w:jc w:val="both"/>
        <w:rPr>
          <w:rFonts w:ascii="Century Gothic" w:hAnsi="Century Gothic"/>
          <w:lang w:val="es-ES"/>
        </w:rPr>
      </w:pPr>
      <w:r w:rsidRPr="0035305D">
        <w:rPr>
          <w:rFonts w:ascii="Century Gothic" w:hAnsi="Century Gothic"/>
          <w:lang w:val="es-ES"/>
        </w:rPr>
        <w:t>Trimestral agregado: Nacional, urbano, rural y cinco ciudades auto representadas (Quito, Guayaquil, Cuenca, Ambato y Machala).</w:t>
      </w:r>
    </w:p>
    <w:p w14:paraId="5C67EA29" w14:textId="77777777" w:rsidR="00523FB9" w:rsidRPr="0035305D" w:rsidRDefault="00523FB9" w:rsidP="00590F1B">
      <w:pPr>
        <w:pStyle w:val="Prrafodelista"/>
        <w:numPr>
          <w:ilvl w:val="0"/>
          <w:numId w:val="19"/>
        </w:numPr>
        <w:jc w:val="both"/>
        <w:rPr>
          <w:rFonts w:ascii="Century Gothic" w:hAnsi="Century Gothic"/>
          <w:lang w:val="es-ES"/>
        </w:rPr>
      </w:pPr>
      <w:r w:rsidRPr="0035305D">
        <w:rPr>
          <w:rFonts w:ascii="Century Gothic" w:hAnsi="Century Gothic"/>
          <w:lang w:val="es-ES"/>
        </w:rPr>
        <w:t>Anual agregado: Nacional, urbano, rural, cinco ciudades auto representadas (Quito, Guayaquil, Cuenca, Ambato y Machala) y 24 provincias.</w:t>
      </w:r>
    </w:p>
    <w:p w14:paraId="46A7D032" w14:textId="3175CAC1" w:rsidR="00C8014E" w:rsidRPr="0035305D" w:rsidRDefault="00C8014E" w:rsidP="00590F1B">
      <w:pPr>
        <w:jc w:val="both"/>
        <w:rPr>
          <w:rFonts w:ascii="Century Gothic" w:hAnsi="Century Gothic"/>
          <w:lang w:val="es-ES"/>
        </w:rPr>
      </w:pPr>
      <w:r w:rsidRPr="0035305D">
        <w:rPr>
          <w:rFonts w:ascii="Century Gothic" w:hAnsi="Century Gothic"/>
          <w:lang w:val="es-ES"/>
        </w:rPr>
        <w:lastRenderedPageBreak/>
        <w:t>Selección de la Muestra:</w:t>
      </w:r>
    </w:p>
    <w:p w14:paraId="2EEAE216" w14:textId="0AAA6FB2" w:rsidR="00C8014E" w:rsidRPr="0035305D" w:rsidRDefault="00C8014E" w:rsidP="00590F1B">
      <w:pPr>
        <w:pStyle w:val="Prrafodelista"/>
        <w:numPr>
          <w:ilvl w:val="0"/>
          <w:numId w:val="11"/>
        </w:numPr>
        <w:jc w:val="both"/>
        <w:rPr>
          <w:rFonts w:ascii="Century Gothic" w:hAnsi="Century Gothic"/>
          <w:lang w:val="es-ES"/>
        </w:rPr>
      </w:pPr>
      <w:r w:rsidRPr="0035305D">
        <w:rPr>
          <w:rFonts w:ascii="Century Gothic" w:hAnsi="Century Gothic"/>
          <w:lang w:val="es-ES"/>
        </w:rPr>
        <w:t>La selección de la muestra se realiza en dos etapas: en la primera etapa se seleccionan las UPM y en la segunda etapa se seleccionan los hogares dentro de las UPM seleccionadas.</w:t>
      </w:r>
    </w:p>
    <w:p w14:paraId="03F02A41" w14:textId="75037341" w:rsidR="00C8014E" w:rsidRPr="0035305D" w:rsidRDefault="00C8014E" w:rsidP="00590F1B">
      <w:pPr>
        <w:pStyle w:val="Prrafodelista"/>
        <w:numPr>
          <w:ilvl w:val="0"/>
          <w:numId w:val="11"/>
        </w:numPr>
        <w:jc w:val="both"/>
        <w:rPr>
          <w:rFonts w:ascii="Century Gothic" w:hAnsi="Century Gothic"/>
          <w:lang w:val="es-ES"/>
        </w:rPr>
      </w:pPr>
      <w:r w:rsidRPr="0035305D">
        <w:rPr>
          <w:rFonts w:ascii="Century Gothic" w:hAnsi="Century Gothic"/>
          <w:lang w:val="es-ES"/>
        </w:rPr>
        <w:t>Se utiliza un muestreo sistemático en cada etapa, con probabilidades proporcionales al tamaño de la UPM o al número de hogares en la UPM.</w:t>
      </w:r>
    </w:p>
    <w:p w14:paraId="064ACB9B" w14:textId="6E4A5D43" w:rsidR="00C8014E" w:rsidRPr="0035305D" w:rsidRDefault="00C8014E" w:rsidP="00590F1B">
      <w:pPr>
        <w:jc w:val="both"/>
        <w:rPr>
          <w:rFonts w:ascii="Century Gothic" w:hAnsi="Century Gothic"/>
          <w:lang w:val="es-ES"/>
        </w:rPr>
      </w:pPr>
      <w:r w:rsidRPr="0035305D">
        <w:rPr>
          <w:rFonts w:ascii="Century Gothic" w:hAnsi="Century Gothic"/>
          <w:lang w:val="es-ES"/>
        </w:rPr>
        <w:t>Tamaño de la Muestra</w:t>
      </w:r>
      <w:r w:rsidR="00523FB9" w:rsidRPr="0035305D">
        <w:rPr>
          <w:rFonts w:ascii="Century Gothic" w:hAnsi="Century Gothic"/>
          <w:lang w:val="es-ES"/>
        </w:rPr>
        <w:t>:</w:t>
      </w:r>
    </w:p>
    <w:p w14:paraId="7E71A85C" w14:textId="60E0FABE" w:rsidR="00C8014E" w:rsidRPr="0035305D" w:rsidRDefault="00C8014E" w:rsidP="00590F1B">
      <w:pPr>
        <w:pStyle w:val="Prrafodelista"/>
        <w:numPr>
          <w:ilvl w:val="0"/>
          <w:numId w:val="13"/>
        </w:numPr>
        <w:jc w:val="both"/>
        <w:rPr>
          <w:rFonts w:ascii="Century Gothic" w:hAnsi="Century Gothic"/>
          <w:lang w:val="es-ES"/>
        </w:rPr>
      </w:pPr>
      <w:r w:rsidRPr="0035305D">
        <w:rPr>
          <w:rFonts w:ascii="Century Gothic" w:hAnsi="Century Gothic"/>
          <w:lang w:val="es-ES"/>
        </w:rPr>
        <w:t>El tamaño de la muestra se determina para garantizar la precisión de las estimaciones a nivel nacional y regional, así como para permitir el análisis de subgrupos de interés.</w:t>
      </w:r>
    </w:p>
    <w:p w14:paraId="6954D452" w14:textId="13A885F2" w:rsidR="00C8014E" w:rsidRPr="0035305D" w:rsidRDefault="00C8014E" w:rsidP="00590F1B">
      <w:pPr>
        <w:pStyle w:val="Prrafodelista"/>
        <w:numPr>
          <w:ilvl w:val="0"/>
          <w:numId w:val="13"/>
        </w:numPr>
        <w:jc w:val="both"/>
        <w:rPr>
          <w:rFonts w:ascii="Century Gothic" w:hAnsi="Century Gothic"/>
          <w:lang w:val="es-ES"/>
        </w:rPr>
      </w:pPr>
      <w:r w:rsidRPr="0035305D">
        <w:rPr>
          <w:rFonts w:ascii="Century Gothic" w:hAnsi="Century Gothic"/>
          <w:lang w:val="es-ES"/>
        </w:rPr>
        <w:t>Se calcula teniendo en cuenta el nivel de confianza deseado, el margen de error aceptable y la variabilidad esperada de las variables de interés.</w:t>
      </w:r>
    </w:p>
    <w:p w14:paraId="12B1E041" w14:textId="4CCE838D" w:rsidR="00523FB9" w:rsidRPr="0035305D" w:rsidRDefault="00523FB9" w:rsidP="00590F1B">
      <w:pPr>
        <w:pStyle w:val="Prrafodelista"/>
        <w:numPr>
          <w:ilvl w:val="0"/>
          <w:numId w:val="13"/>
        </w:numPr>
        <w:jc w:val="both"/>
        <w:rPr>
          <w:rFonts w:ascii="Century Gothic" w:hAnsi="Century Gothic"/>
          <w:lang w:val="es-ES"/>
        </w:rPr>
      </w:pPr>
      <w:r w:rsidRPr="0035305D">
        <w:rPr>
          <w:rFonts w:ascii="Century Gothic" w:hAnsi="Century Gothic"/>
          <w:lang w:val="es-ES"/>
        </w:rPr>
        <w:t>La variable de diseño es el desempleo.</w:t>
      </w:r>
    </w:p>
    <w:p w14:paraId="0A97C987" w14:textId="1932BAF5" w:rsidR="00590F1B" w:rsidRPr="0035305D" w:rsidRDefault="00590F1B" w:rsidP="00590F1B">
      <w:pPr>
        <w:pStyle w:val="Prrafodelista"/>
        <w:numPr>
          <w:ilvl w:val="0"/>
          <w:numId w:val="13"/>
        </w:numPr>
        <w:jc w:val="both"/>
        <w:rPr>
          <w:rFonts w:ascii="Century Gothic" w:hAnsi="Century Gothic"/>
          <w:lang w:val="es-ES"/>
        </w:rPr>
      </w:pPr>
      <w:r w:rsidRPr="0035305D">
        <w:rPr>
          <w:rFonts w:ascii="Century Gothic" w:hAnsi="Century Gothic"/>
          <w:lang w:val="es-ES"/>
        </w:rPr>
        <w:t>9.016 viviendas por mes</w:t>
      </w:r>
    </w:p>
    <w:p w14:paraId="388FC62E" w14:textId="06E9A794" w:rsidR="00523FB9" w:rsidRPr="0035305D" w:rsidRDefault="00523FB9" w:rsidP="00590F1B">
      <w:pPr>
        <w:jc w:val="both"/>
        <w:rPr>
          <w:rFonts w:ascii="Century Gothic" w:hAnsi="Century Gothic"/>
          <w:lang w:val="es-ES"/>
        </w:rPr>
      </w:pPr>
      <w:r w:rsidRPr="0035305D">
        <w:rPr>
          <w:rFonts w:ascii="Century Gothic" w:hAnsi="Century Gothic"/>
          <w:lang w:val="es-ES"/>
        </w:rPr>
        <w:t>Calibración de los Factores de Expansión:</w:t>
      </w:r>
    </w:p>
    <w:p w14:paraId="7EB29EFC" w14:textId="0BA469EE" w:rsidR="00523FB9" w:rsidRPr="0035305D" w:rsidRDefault="00523FB9" w:rsidP="00590F1B">
      <w:pPr>
        <w:pStyle w:val="Prrafodelista"/>
        <w:numPr>
          <w:ilvl w:val="0"/>
          <w:numId w:val="17"/>
        </w:numPr>
        <w:jc w:val="both"/>
        <w:rPr>
          <w:rFonts w:ascii="Century Gothic" w:hAnsi="Century Gothic"/>
          <w:lang w:val="es-ES"/>
        </w:rPr>
      </w:pPr>
      <w:r w:rsidRPr="0035305D">
        <w:rPr>
          <w:rFonts w:ascii="Century Gothic" w:hAnsi="Century Gothic"/>
          <w:lang w:val="es-ES"/>
        </w:rPr>
        <w:t>El primer paso implica realizar ajustes de cobertura.</w:t>
      </w:r>
    </w:p>
    <w:p w14:paraId="258A264E" w14:textId="1C373E0F" w:rsidR="00523FB9" w:rsidRPr="0035305D" w:rsidRDefault="00523FB9" w:rsidP="00590F1B">
      <w:pPr>
        <w:pStyle w:val="Prrafodelista"/>
        <w:numPr>
          <w:ilvl w:val="0"/>
          <w:numId w:val="17"/>
        </w:numPr>
        <w:jc w:val="both"/>
        <w:rPr>
          <w:rFonts w:ascii="Century Gothic" w:hAnsi="Century Gothic"/>
          <w:lang w:val="es-ES"/>
        </w:rPr>
      </w:pPr>
      <w:r w:rsidRPr="0035305D">
        <w:rPr>
          <w:rFonts w:ascii="Century Gothic" w:hAnsi="Century Gothic"/>
          <w:lang w:val="es-ES"/>
        </w:rPr>
        <w:t>Estos ajustes se calculan a nivel de Unidad Primaria de Muestreo (UPM), dividiendo la población en dos grupos de interés: menores de 15 años y de 15 años en adelante.</w:t>
      </w:r>
    </w:p>
    <w:p w14:paraId="02A6A989" w14:textId="12C06988" w:rsidR="006161DD" w:rsidRPr="0035305D" w:rsidRDefault="00523FB9" w:rsidP="00590F1B">
      <w:pPr>
        <w:pStyle w:val="Prrafodelista"/>
        <w:numPr>
          <w:ilvl w:val="0"/>
          <w:numId w:val="17"/>
        </w:numPr>
        <w:jc w:val="both"/>
        <w:rPr>
          <w:rFonts w:ascii="Century Gothic" w:hAnsi="Century Gothic"/>
          <w:lang w:val="es-ES"/>
        </w:rPr>
      </w:pPr>
      <w:r w:rsidRPr="0035305D">
        <w:rPr>
          <w:rFonts w:ascii="Century Gothic" w:hAnsi="Century Gothic"/>
          <w:lang w:val="es-ES"/>
        </w:rPr>
        <w:t>Los datos utilizados como insumo son las proyecciones de población revisadas en 2010</w:t>
      </w:r>
      <w:r w:rsidR="006161DD" w:rsidRPr="0035305D">
        <w:rPr>
          <w:rFonts w:ascii="Century Gothic" w:hAnsi="Century Gothic"/>
          <w:lang w:val="es-ES"/>
        </w:rPr>
        <w:t>.</w:t>
      </w:r>
    </w:p>
    <w:p w14:paraId="7E29B49B" w14:textId="77777777" w:rsidR="006161DD" w:rsidRPr="0035305D" w:rsidRDefault="006161DD" w:rsidP="00590F1B">
      <w:pPr>
        <w:pStyle w:val="Prrafodelista"/>
        <w:jc w:val="both"/>
        <w:rPr>
          <w:rFonts w:ascii="Century Gothic" w:hAnsi="Century Gothic"/>
          <w:lang w:val="es-ES"/>
        </w:rPr>
      </w:pPr>
    </w:p>
    <w:p w14:paraId="3044F295" w14:textId="190C7141" w:rsidR="008715A0" w:rsidRPr="0035305D" w:rsidRDefault="005A7462" w:rsidP="00590F1B">
      <w:pPr>
        <w:pStyle w:val="Ttulo2"/>
        <w:jc w:val="both"/>
        <w:rPr>
          <w:rFonts w:ascii="Century Gothic" w:hAnsi="Century Gothic"/>
          <w:lang w:val="es-ES"/>
        </w:rPr>
      </w:pPr>
      <w:r w:rsidRPr="0035305D">
        <w:rPr>
          <w:rFonts w:ascii="Century Gothic" w:hAnsi="Century Gothic"/>
          <w:lang w:val="es-ES"/>
        </w:rPr>
        <w:t xml:space="preserve">Problemática: </w:t>
      </w:r>
      <w:r w:rsidR="008715A0" w:rsidRPr="0035305D">
        <w:rPr>
          <w:rFonts w:ascii="Century Gothic" w:hAnsi="Century Gothic"/>
          <w:lang w:val="es-ES"/>
        </w:rPr>
        <w:t>Reemplazos de viviendas</w:t>
      </w:r>
      <w:r w:rsidR="006161DD" w:rsidRPr="0035305D">
        <w:rPr>
          <w:rFonts w:ascii="Century Gothic" w:hAnsi="Century Gothic"/>
          <w:lang w:val="es-ES"/>
        </w:rPr>
        <w:t xml:space="preserve"> ENEMDU oficial</w:t>
      </w:r>
    </w:p>
    <w:p w14:paraId="5855D9EB" w14:textId="77777777" w:rsidR="00590F1B" w:rsidRPr="0035305D" w:rsidRDefault="00590F1B" w:rsidP="00590F1B">
      <w:pPr>
        <w:rPr>
          <w:rFonts w:ascii="Century Gothic" w:hAnsi="Century Gothic"/>
          <w:lang w:val="es-ES"/>
        </w:rPr>
      </w:pPr>
    </w:p>
    <w:p w14:paraId="41950155" w14:textId="0B472302" w:rsidR="005A7462" w:rsidRPr="0035305D" w:rsidRDefault="005A7462" w:rsidP="00590F1B">
      <w:pPr>
        <w:pStyle w:val="Descripcin"/>
        <w:keepNext/>
        <w:jc w:val="both"/>
        <w:rPr>
          <w:rFonts w:ascii="Century Gothic" w:hAnsi="Century Gothic"/>
          <w:i w:val="0"/>
          <w:iCs w:val="0"/>
          <w:color w:val="auto"/>
          <w:sz w:val="22"/>
          <w:szCs w:val="22"/>
          <w:lang w:val="es-ES"/>
        </w:rPr>
      </w:pPr>
      <w:r w:rsidRPr="0035305D">
        <w:rPr>
          <w:rFonts w:ascii="Century Gothic" w:hAnsi="Century Gothic"/>
          <w:i w:val="0"/>
          <w:iCs w:val="0"/>
          <w:color w:val="auto"/>
          <w:sz w:val="22"/>
          <w:szCs w:val="22"/>
          <w:lang w:val="es-ES"/>
        </w:rPr>
        <w:t>El siguiente gráfico presenta la evolución del número de viviendas investigadas y efectivas en la ENEMDU</w:t>
      </w:r>
      <w:r w:rsidR="006161DD" w:rsidRPr="0035305D">
        <w:rPr>
          <w:rFonts w:ascii="Century Gothic" w:hAnsi="Century Gothic"/>
          <w:i w:val="0"/>
          <w:iCs w:val="0"/>
          <w:color w:val="auto"/>
          <w:sz w:val="22"/>
          <w:szCs w:val="22"/>
          <w:lang w:val="es-ES"/>
        </w:rPr>
        <w:t xml:space="preserve"> oficial</w:t>
      </w:r>
      <w:r w:rsidRPr="0035305D">
        <w:rPr>
          <w:rFonts w:ascii="Century Gothic" w:hAnsi="Century Gothic"/>
          <w:i w:val="0"/>
          <w:iCs w:val="0"/>
          <w:color w:val="auto"/>
          <w:sz w:val="22"/>
          <w:szCs w:val="22"/>
          <w:lang w:val="es-ES"/>
        </w:rPr>
        <w:t xml:space="preserve"> desde enero de 2021 hasta abril de 2024.</w:t>
      </w:r>
    </w:p>
    <w:p w14:paraId="0928C5A4" w14:textId="71BB82C7" w:rsidR="00E54E04" w:rsidRPr="0035305D" w:rsidRDefault="00E54E04" w:rsidP="00590F1B">
      <w:pPr>
        <w:pStyle w:val="Descripcin"/>
        <w:keepNext/>
        <w:jc w:val="both"/>
        <w:rPr>
          <w:rFonts w:ascii="Century Gothic" w:hAnsi="Century Gothic"/>
        </w:rPr>
      </w:pPr>
      <w:r w:rsidRPr="0035305D">
        <w:rPr>
          <w:rFonts w:ascii="Century Gothic" w:hAnsi="Century Gothic"/>
        </w:rPr>
        <w:t xml:space="preserve">Ilustración </w:t>
      </w:r>
      <w:r w:rsidR="00000000" w:rsidRPr="0035305D">
        <w:rPr>
          <w:rFonts w:ascii="Century Gothic" w:hAnsi="Century Gothic"/>
        </w:rPr>
        <w:fldChar w:fldCharType="begin"/>
      </w:r>
      <w:r w:rsidR="00000000" w:rsidRPr="0035305D">
        <w:rPr>
          <w:rFonts w:ascii="Century Gothic" w:hAnsi="Century Gothic"/>
        </w:rPr>
        <w:instrText xml:space="preserve"> SEQ Ilustración \* ARABIC </w:instrText>
      </w:r>
      <w:r w:rsidR="00000000" w:rsidRPr="0035305D">
        <w:rPr>
          <w:rFonts w:ascii="Century Gothic" w:hAnsi="Century Gothic"/>
        </w:rPr>
        <w:fldChar w:fldCharType="separate"/>
      </w:r>
      <w:r w:rsidRPr="0035305D">
        <w:rPr>
          <w:rFonts w:ascii="Century Gothic" w:hAnsi="Century Gothic"/>
          <w:noProof/>
        </w:rPr>
        <w:t>1</w:t>
      </w:r>
      <w:r w:rsidR="00000000" w:rsidRPr="0035305D">
        <w:rPr>
          <w:rFonts w:ascii="Century Gothic" w:hAnsi="Century Gothic"/>
          <w:noProof/>
        </w:rPr>
        <w:fldChar w:fldCharType="end"/>
      </w:r>
      <w:r w:rsidRPr="0035305D">
        <w:rPr>
          <w:rFonts w:ascii="Century Gothic" w:hAnsi="Century Gothic"/>
        </w:rPr>
        <w:t>. Evolución del número de viviendas investigadas y efectivas en la ENEMDU</w:t>
      </w:r>
    </w:p>
    <w:p w14:paraId="6EE0CC21" w14:textId="77777777" w:rsidR="005A7462" w:rsidRPr="0035305D" w:rsidRDefault="00D21B37" w:rsidP="004D304F">
      <w:pPr>
        <w:jc w:val="center"/>
        <w:rPr>
          <w:rFonts w:ascii="Century Gothic" w:hAnsi="Century Gothic"/>
        </w:rPr>
      </w:pPr>
      <w:r w:rsidRPr="0035305D">
        <w:rPr>
          <w:rFonts w:ascii="Century Gothic" w:hAnsi="Century Gothic"/>
          <w:noProof/>
          <w:lang w:eastAsia="es-EC"/>
        </w:rPr>
        <w:drawing>
          <wp:inline distT="0" distB="0" distL="0" distR="0" wp14:anchorId="4B36C493" wp14:editId="7C99C190">
            <wp:extent cx="4892040" cy="2453640"/>
            <wp:effectExtent l="0" t="0" r="3810" b="381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3900053" w14:textId="4316A9B7" w:rsidR="005A7462" w:rsidRPr="0035305D" w:rsidRDefault="005A7462" w:rsidP="00590F1B">
      <w:pPr>
        <w:jc w:val="both"/>
        <w:rPr>
          <w:rFonts w:ascii="Century Gothic" w:hAnsi="Century Gothic"/>
        </w:rPr>
      </w:pPr>
    </w:p>
    <w:p w14:paraId="547C5360" w14:textId="5913C897" w:rsidR="005A7462" w:rsidRPr="0035305D" w:rsidRDefault="005A7462" w:rsidP="00590F1B">
      <w:pPr>
        <w:jc w:val="both"/>
        <w:rPr>
          <w:rFonts w:ascii="Century Gothic" w:hAnsi="Century Gothic"/>
        </w:rPr>
      </w:pPr>
      <w:r w:rsidRPr="0035305D">
        <w:rPr>
          <w:rFonts w:ascii="Century Gothic" w:hAnsi="Century Gothic"/>
        </w:rPr>
        <w:lastRenderedPageBreak/>
        <w:t xml:space="preserve">Dado que la ENEMDU </w:t>
      </w:r>
      <w:r w:rsidR="006161DD" w:rsidRPr="0035305D">
        <w:rPr>
          <w:rFonts w:ascii="Century Gothic" w:hAnsi="Century Gothic"/>
        </w:rPr>
        <w:t>oficial</w:t>
      </w:r>
      <w:r w:rsidRPr="0035305D">
        <w:rPr>
          <w:rFonts w:ascii="Century Gothic" w:hAnsi="Century Gothic"/>
        </w:rPr>
        <w:t xml:space="preserve"> cuenta con un tamaño de muestra variable de viviendas originales (7) y de reemplazo (3) por Unidad Primaria de Muestreo (UPM), no se establece un tamaño muestral fijo de viviendas a investigar mensualmente, con un rango que oscila entre 9.795 (agosto de 2022) y 11.556 (marzo de 2021) durante el período evaluado.</w:t>
      </w:r>
    </w:p>
    <w:p w14:paraId="5766BDD0" w14:textId="27C6B533" w:rsidR="006161DD" w:rsidRPr="0035305D" w:rsidRDefault="006161DD" w:rsidP="00590F1B">
      <w:pPr>
        <w:jc w:val="both"/>
        <w:rPr>
          <w:rFonts w:ascii="Century Gothic" w:hAnsi="Century Gothic"/>
        </w:rPr>
      </w:pPr>
      <w:r w:rsidRPr="0035305D">
        <w:rPr>
          <w:rFonts w:ascii="Century Gothic" w:hAnsi="Century Gothic"/>
        </w:rPr>
        <w:t>El no establecer</w:t>
      </w:r>
      <w:r w:rsidRPr="0035305D">
        <w:rPr>
          <w:rFonts w:ascii="Century Gothic" w:hAnsi="Century Gothic"/>
        </w:rPr>
        <w:t xml:space="preserve"> un tamaño muestral fijo mensual, puede generar una falta de uniformidad en la cobertura de la encuesta. Esto se debe a varias razones:</w:t>
      </w:r>
    </w:p>
    <w:p w14:paraId="00C9030C" w14:textId="197DD688" w:rsidR="006161DD" w:rsidRPr="0035305D" w:rsidRDefault="006161DD" w:rsidP="00590F1B">
      <w:pPr>
        <w:pStyle w:val="Prrafodelista"/>
        <w:numPr>
          <w:ilvl w:val="0"/>
          <w:numId w:val="20"/>
        </w:numPr>
        <w:jc w:val="both"/>
        <w:rPr>
          <w:rFonts w:ascii="Century Gothic" w:hAnsi="Century Gothic"/>
        </w:rPr>
      </w:pPr>
      <w:r w:rsidRPr="0035305D">
        <w:rPr>
          <w:rFonts w:ascii="Century Gothic" w:hAnsi="Century Gothic"/>
        </w:rPr>
        <w:t>Inconsistencia en la representación de la población: Con un tamaño de muestra variable, es posible que algunas áreas o grupos demográficos estén subrepresentados en ciertos meses, lo que puede sesgar los resultados de la encuesta.</w:t>
      </w:r>
    </w:p>
    <w:p w14:paraId="5A46AB0A" w14:textId="4C551B6F" w:rsidR="006161DD" w:rsidRPr="0035305D" w:rsidRDefault="006161DD" w:rsidP="00590F1B">
      <w:pPr>
        <w:pStyle w:val="Prrafodelista"/>
        <w:numPr>
          <w:ilvl w:val="0"/>
          <w:numId w:val="20"/>
        </w:numPr>
        <w:jc w:val="both"/>
        <w:rPr>
          <w:rFonts w:ascii="Century Gothic" w:hAnsi="Century Gothic"/>
        </w:rPr>
      </w:pPr>
      <w:r w:rsidRPr="0035305D">
        <w:rPr>
          <w:rFonts w:ascii="Century Gothic" w:hAnsi="Century Gothic"/>
        </w:rPr>
        <w:t>Falta de precisión en las estimaciones: La variabilidad en el tamaño de muestra puede afectar la precisión de las estimaciones de la ENEMDU, ya que la cantidad de datos recopilados puede ser insuficiente para obtener resultados confiables y representativos.</w:t>
      </w:r>
    </w:p>
    <w:p w14:paraId="37515D13" w14:textId="143CD248" w:rsidR="006161DD" w:rsidRPr="0035305D" w:rsidRDefault="006161DD" w:rsidP="00590F1B">
      <w:pPr>
        <w:pStyle w:val="Prrafodelista"/>
        <w:numPr>
          <w:ilvl w:val="0"/>
          <w:numId w:val="20"/>
        </w:numPr>
        <w:jc w:val="both"/>
        <w:rPr>
          <w:rFonts w:ascii="Century Gothic" w:hAnsi="Century Gothic"/>
        </w:rPr>
      </w:pPr>
      <w:r w:rsidRPr="0035305D">
        <w:rPr>
          <w:rFonts w:ascii="Century Gothic" w:hAnsi="Century Gothic"/>
        </w:rPr>
        <w:t>Dificultades para comparar datos a lo largo del tiempo: Al no tener un tamaño muestral fijo mensual, puede resultar complicado comparar los resultados de la encuesta entre diferentes períodos de tiempo, lo que dificulta el análisis de tendencias a lo largo del tiempo.</w:t>
      </w:r>
    </w:p>
    <w:p w14:paraId="67EF648E" w14:textId="77777777" w:rsidR="00590F1B" w:rsidRPr="0035305D" w:rsidRDefault="00590F1B" w:rsidP="00590F1B">
      <w:pPr>
        <w:pStyle w:val="Ttulo2"/>
        <w:jc w:val="both"/>
        <w:rPr>
          <w:rFonts w:ascii="Century Gothic" w:hAnsi="Century Gothic"/>
        </w:rPr>
      </w:pPr>
    </w:p>
    <w:p w14:paraId="67C7B364" w14:textId="72AD2D50" w:rsidR="006161DD" w:rsidRPr="0035305D" w:rsidRDefault="006161DD" w:rsidP="00590F1B">
      <w:pPr>
        <w:pStyle w:val="Ttulo2"/>
        <w:jc w:val="both"/>
        <w:rPr>
          <w:rFonts w:ascii="Century Gothic" w:hAnsi="Century Gothic"/>
          <w:lang w:val="es-ES"/>
        </w:rPr>
      </w:pPr>
      <w:r w:rsidRPr="0035305D">
        <w:rPr>
          <w:rFonts w:ascii="Century Gothic" w:hAnsi="Century Gothic"/>
          <w:lang w:val="es-ES"/>
        </w:rPr>
        <w:t>Propuesta</w:t>
      </w:r>
      <w:r w:rsidRPr="0035305D">
        <w:rPr>
          <w:rFonts w:ascii="Century Gothic" w:hAnsi="Century Gothic"/>
          <w:lang w:val="es-ES"/>
        </w:rPr>
        <w:t xml:space="preserve">: </w:t>
      </w:r>
      <w:r w:rsidR="00590F1B" w:rsidRPr="0035305D">
        <w:rPr>
          <w:rFonts w:ascii="Century Gothic" w:hAnsi="Century Gothic"/>
          <w:lang w:val="es-ES"/>
        </w:rPr>
        <w:t>No usar reemplazos en la nueva ENEMDU.</w:t>
      </w:r>
    </w:p>
    <w:p w14:paraId="3C28E722" w14:textId="77777777" w:rsidR="00590F1B" w:rsidRPr="0035305D" w:rsidRDefault="00590F1B" w:rsidP="00590F1B">
      <w:pPr>
        <w:jc w:val="both"/>
        <w:rPr>
          <w:rFonts w:ascii="Century Gothic" w:hAnsi="Century Gothic"/>
          <w:lang w:val="es-ES"/>
        </w:rPr>
      </w:pPr>
    </w:p>
    <w:p w14:paraId="1AF3ACA5" w14:textId="77777777" w:rsidR="00590F1B" w:rsidRPr="0035305D" w:rsidRDefault="00590F1B" w:rsidP="00590F1B">
      <w:pPr>
        <w:jc w:val="both"/>
        <w:rPr>
          <w:rFonts w:ascii="Century Gothic" w:hAnsi="Century Gothic"/>
          <w:lang w:val="es-ES"/>
        </w:rPr>
      </w:pPr>
      <w:r w:rsidRPr="0035305D">
        <w:rPr>
          <w:rFonts w:ascii="Century Gothic" w:hAnsi="Century Gothic"/>
          <w:lang w:val="es-ES"/>
        </w:rPr>
        <w:t>El uso de reemplazos en una encuesta probabilística dirigida a hogares no es recomendable por varias razones:</w:t>
      </w:r>
    </w:p>
    <w:p w14:paraId="6D8FAD3C" w14:textId="6FF4D90A" w:rsidR="00590F1B" w:rsidRPr="0035305D" w:rsidRDefault="00590F1B" w:rsidP="00590F1B">
      <w:pPr>
        <w:pStyle w:val="Prrafodelista"/>
        <w:numPr>
          <w:ilvl w:val="0"/>
          <w:numId w:val="22"/>
        </w:numPr>
        <w:jc w:val="both"/>
        <w:rPr>
          <w:rFonts w:ascii="Century Gothic" w:hAnsi="Century Gothic"/>
          <w:lang w:val="es-ES"/>
        </w:rPr>
      </w:pPr>
      <w:r w:rsidRPr="0035305D">
        <w:rPr>
          <w:rFonts w:ascii="Century Gothic" w:hAnsi="Century Gothic"/>
          <w:lang w:val="es-ES"/>
        </w:rPr>
        <w:t>Sesgo potencial: Introducir reemplazos puede sesgar los resultados de la encuesta, ya que las viviendas de reemplazo pueden no representar adecuadamente a la población objetivo. Esto puede llevar a estimaciones inexactas y poco confiables.</w:t>
      </w:r>
    </w:p>
    <w:p w14:paraId="5CAE41B7" w14:textId="075CD82C" w:rsidR="00590F1B" w:rsidRPr="0035305D" w:rsidRDefault="00590F1B" w:rsidP="00590F1B">
      <w:pPr>
        <w:pStyle w:val="Prrafodelista"/>
        <w:numPr>
          <w:ilvl w:val="0"/>
          <w:numId w:val="22"/>
        </w:numPr>
        <w:jc w:val="both"/>
        <w:rPr>
          <w:rFonts w:ascii="Century Gothic" w:hAnsi="Century Gothic"/>
          <w:lang w:val="es-ES"/>
        </w:rPr>
      </w:pPr>
      <w:r w:rsidRPr="0035305D">
        <w:rPr>
          <w:rFonts w:ascii="Century Gothic" w:hAnsi="Century Gothic"/>
          <w:lang w:val="es-ES"/>
        </w:rPr>
        <w:t>Reducción de la precisión: La inclusión de reemplazos puede reducir la precisión de las estimaciones de la encuesta. Las viviendas de reemplazo pueden diferir en características importantes de las viviendas originales seleccionadas, lo que aumenta la variabilidad en los datos y disminuye la precisión de las estimaciones.</w:t>
      </w:r>
    </w:p>
    <w:p w14:paraId="5E931F73" w14:textId="084D043F" w:rsidR="00590F1B" w:rsidRPr="0035305D" w:rsidRDefault="00590F1B" w:rsidP="00590F1B">
      <w:pPr>
        <w:pStyle w:val="Prrafodelista"/>
        <w:numPr>
          <w:ilvl w:val="0"/>
          <w:numId w:val="22"/>
        </w:numPr>
        <w:jc w:val="both"/>
        <w:rPr>
          <w:rFonts w:ascii="Century Gothic" w:hAnsi="Century Gothic"/>
          <w:lang w:val="es-ES"/>
        </w:rPr>
      </w:pPr>
      <w:r w:rsidRPr="0035305D">
        <w:rPr>
          <w:rFonts w:ascii="Century Gothic" w:hAnsi="Century Gothic"/>
          <w:lang w:val="es-ES"/>
        </w:rPr>
        <w:t>Dificultades en la inferencia estadística: El uso de reemplazos complica el proceso de inferencia estadística, ya que es más difícil determinar la validez de las suposiciones subyacentes en la estimación de los parámetros de interés. Esto puede dificultar la interpretación de los resultados y la toma de decisiones basada en ellos.</w:t>
      </w:r>
    </w:p>
    <w:p w14:paraId="6DB8CA02" w14:textId="1953AB2C" w:rsidR="00590F1B" w:rsidRPr="0035305D" w:rsidRDefault="00590F1B" w:rsidP="00590F1B">
      <w:pPr>
        <w:pStyle w:val="Prrafodelista"/>
        <w:numPr>
          <w:ilvl w:val="0"/>
          <w:numId w:val="22"/>
        </w:numPr>
        <w:jc w:val="both"/>
        <w:rPr>
          <w:rFonts w:ascii="Century Gothic" w:hAnsi="Century Gothic"/>
          <w:lang w:val="es-ES"/>
        </w:rPr>
      </w:pPr>
      <w:r w:rsidRPr="0035305D">
        <w:rPr>
          <w:rFonts w:ascii="Century Gothic" w:hAnsi="Century Gothic"/>
          <w:lang w:val="es-ES"/>
        </w:rPr>
        <w:t>Impacto en la representatividad: La inclusión de reemplazos puede afectar la representatividad de la muestra, ya que las viviendas de reemplazo pueden no reflejar adecuadamente las características de la población objetivo. Esto puede conducir a estimaciones sesgadas y poco confiables de las características de interés.</w:t>
      </w:r>
    </w:p>
    <w:p w14:paraId="213B2374" w14:textId="77777777" w:rsidR="0035305D" w:rsidRPr="0035305D" w:rsidRDefault="005A7462" w:rsidP="00590F1B">
      <w:pPr>
        <w:jc w:val="both"/>
        <w:rPr>
          <w:rFonts w:ascii="Century Gothic" w:hAnsi="Century Gothic"/>
        </w:rPr>
      </w:pPr>
      <w:r w:rsidRPr="0035305D">
        <w:rPr>
          <w:rFonts w:ascii="Century Gothic" w:hAnsi="Century Gothic"/>
        </w:rPr>
        <w:lastRenderedPageBreak/>
        <w:t>La propuesta para la ENCIET es cambiar a un tamaño fijo de viviendas por UPM (8), con la visita planificada de 10.304 viviendas en cada uno de los meses</w:t>
      </w:r>
      <w:r w:rsidR="0035305D" w:rsidRPr="0035305D">
        <w:rPr>
          <w:rFonts w:ascii="Century Gothic" w:hAnsi="Century Gothic"/>
        </w:rPr>
        <w:t>, para así garantizar una cobertura coherente entre períodos de tiempo sin que esto afecte al presupuesto de la encuesta.</w:t>
      </w:r>
    </w:p>
    <w:p w14:paraId="22CAAB75" w14:textId="74CBD5E8" w:rsidR="005A7462" w:rsidRPr="0035305D" w:rsidRDefault="0035305D" w:rsidP="00590F1B">
      <w:pPr>
        <w:jc w:val="both"/>
        <w:rPr>
          <w:rFonts w:ascii="Century Gothic" w:hAnsi="Century Gothic"/>
        </w:rPr>
      </w:pPr>
      <w:r w:rsidRPr="0035305D">
        <w:rPr>
          <w:rFonts w:ascii="Century Gothic" w:hAnsi="Century Gothic"/>
        </w:rPr>
        <w:t>D</w:t>
      </w:r>
      <w:r w:rsidR="005A7462" w:rsidRPr="0035305D">
        <w:rPr>
          <w:rFonts w:ascii="Century Gothic" w:hAnsi="Century Gothic"/>
        </w:rPr>
        <w:t xml:space="preserve">ebido a la rotación de los paneles, existe la posibilidad de que se superen las 9.016 viviendas efectivas en algunos meses, posiblemente en el primer trimestre de 2026. Por esta razón, la Dirección </w:t>
      </w:r>
      <w:r w:rsidR="005A7462" w:rsidRPr="0035305D">
        <w:rPr>
          <w:rFonts w:ascii="Century Gothic" w:hAnsi="Century Gothic"/>
        </w:rPr>
        <w:t>de Infraestructura Estadística y Muestreo</w:t>
      </w:r>
      <w:r w:rsidR="005A7462" w:rsidRPr="0035305D">
        <w:rPr>
          <w:rFonts w:ascii="Century Gothic" w:hAnsi="Century Gothic"/>
        </w:rPr>
        <w:t xml:space="preserve"> (DINEM) evaluará el desempeño de la muestra por estrato y panel, ajustando la estrategia de selección de viviendas para no exceder la restricción presupuestaria.</w:t>
      </w:r>
    </w:p>
    <w:p w14:paraId="1F37533C" w14:textId="77777777" w:rsidR="005A7462" w:rsidRPr="0035305D" w:rsidRDefault="005A7462" w:rsidP="00590F1B">
      <w:pPr>
        <w:jc w:val="both"/>
        <w:rPr>
          <w:rFonts w:ascii="Century Gothic" w:hAnsi="Century Gothic"/>
        </w:rPr>
      </w:pPr>
    </w:p>
    <w:p w14:paraId="1EC31483" w14:textId="77777777" w:rsidR="005A7462" w:rsidRPr="0035305D" w:rsidRDefault="005A7462" w:rsidP="00590F1B">
      <w:pPr>
        <w:pStyle w:val="Ttulo2"/>
        <w:jc w:val="both"/>
        <w:rPr>
          <w:rFonts w:ascii="Century Gothic" w:hAnsi="Century Gothic"/>
          <w:lang w:val="es-ES"/>
        </w:rPr>
      </w:pPr>
      <w:r w:rsidRPr="0035305D">
        <w:rPr>
          <w:rFonts w:ascii="Century Gothic" w:hAnsi="Century Gothic"/>
          <w:lang w:val="es-ES"/>
        </w:rPr>
        <w:t>Conclusiones:</w:t>
      </w:r>
    </w:p>
    <w:p w14:paraId="6CD0DDDE" w14:textId="77777777" w:rsidR="005A7462" w:rsidRPr="0035305D" w:rsidRDefault="005A7462" w:rsidP="00590F1B">
      <w:pPr>
        <w:jc w:val="both"/>
        <w:rPr>
          <w:rFonts w:ascii="Century Gothic" w:hAnsi="Century Gothic"/>
          <w:lang w:val="es-ES"/>
        </w:rPr>
      </w:pPr>
    </w:p>
    <w:p w14:paraId="3CF6B6E3" w14:textId="2999F2A1" w:rsidR="005A7462" w:rsidRPr="0035305D" w:rsidRDefault="005A7462" w:rsidP="00590F1B">
      <w:pPr>
        <w:pStyle w:val="Prrafodelista"/>
        <w:numPr>
          <w:ilvl w:val="0"/>
          <w:numId w:val="1"/>
        </w:numPr>
        <w:jc w:val="both"/>
        <w:rPr>
          <w:rFonts w:ascii="Century Gothic" w:hAnsi="Century Gothic"/>
        </w:rPr>
      </w:pPr>
      <w:r w:rsidRPr="0035305D">
        <w:rPr>
          <w:rFonts w:ascii="Century Gothic" w:hAnsi="Century Gothic"/>
        </w:rPr>
        <w:t>La ENEMDU actual opera con un tamaño de muestra variable de viviendas originales y de reemplazo por Unidad Primaria de Muestreo (UPM), lo que resulta en un rango fluctuante de viviendas a investigar mensualmente.</w:t>
      </w:r>
    </w:p>
    <w:p w14:paraId="5FD2FF60" w14:textId="6F6DA3D6" w:rsidR="005A7462" w:rsidRPr="0035305D" w:rsidRDefault="005A7462" w:rsidP="00590F1B">
      <w:pPr>
        <w:pStyle w:val="Prrafodelista"/>
        <w:numPr>
          <w:ilvl w:val="0"/>
          <w:numId w:val="1"/>
        </w:numPr>
        <w:jc w:val="both"/>
        <w:rPr>
          <w:rFonts w:ascii="Century Gothic" w:hAnsi="Century Gothic"/>
        </w:rPr>
      </w:pPr>
      <w:r w:rsidRPr="0035305D">
        <w:rPr>
          <w:rFonts w:ascii="Century Gothic" w:hAnsi="Century Gothic"/>
        </w:rPr>
        <w:t xml:space="preserve">La propuesta para la </w:t>
      </w:r>
      <w:r w:rsidR="004D304F" w:rsidRPr="0035305D">
        <w:rPr>
          <w:rFonts w:ascii="Century Gothic" w:hAnsi="Century Gothic"/>
        </w:rPr>
        <w:t>nueva ENEMDU</w:t>
      </w:r>
      <w:r w:rsidRPr="0035305D">
        <w:rPr>
          <w:rFonts w:ascii="Century Gothic" w:hAnsi="Century Gothic"/>
        </w:rPr>
        <w:t xml:space="preserve"> busca implementar un tamaño fijo de viviendas por UPM, con una cantidad específica de viviendas a visitar en cada mes.</w:t>
      </w:r>
    </w:p>
    <w:p w14:paraId="3C9BE8B5" w14:textId="6AC0CE2E" w:rsidR="005A7462" w:rsidRPr="0035305D" w:rsidRDefault="005A7462" w:rsidP="00590F1B">
      <w:pPr>
        <w:pStyle w:val="Prrafodelista"/>
        <w:numPr>
          <w:ilvl w:val="0"/>
          <w:numId w:val="1"/>
        </w:numPr>
        <w:jc w:val="both"/>
        <w:rPr>
          <w:rFonts w:ascii="Century Gothic" w:hAnsi="Century Gothic"/>
        </w:rPr>
      </w:pPr>
      <w:r w:rsidRPr="0035305D">
        <w:rPr>
          <w:rFonts w:ascii="Century Gothic" w:hAnsi="Century Gothic"/>
        </w:rPr>
        <w:t xml:space="preserve">La rotación de paneles en la </w:t>
      </w:r>
      <w:r w:rsidR="004D304F" w:rsidRPr="0035305D">
        <w:rPr>
          <w:rFonts w:ascii="Century Gothic" w:hAnsi="Century Gothic"/>
        </w:rPr>
        <w:t>nueva ENEMDU</w:t>
      </w:r>
      <w:r w:rsidRPr="0035305D">
        <w:rPr>
          <w:rFonts w:ascii="Century Gothic" w:hAnsi="Century Gothic"/>
        </w:rPr>
        <w:t xml:space="preserve"> podría generar un aumento en el número de viviendas efectivas investigadas, posiblemente superando la cantidad establecida en algunos meses.</w:t>
      </w:r>
    </w:p>
    <w:p w14:paraId="443B31A2" w14:textId="77777777" w:rsidR="005A7462" w:rsidRPr="0035305D" w:rsidRDefault="005A7462" w:rsidP="00590F1B">
      <w:pPr>
        <w:jc w:val="both"/>
        <w:rPr>
          <w:rFonts w:ascii="Century Gothic" w:hAnsi="Century Gothic"/>
        </w:rPr>
      </w:pPr>
    </w:p>
    <w:p w14:paraId="2DEBF170" w14:textId="46B323B4" w:rsidR="005A7462" w:rsidRPr="0035305D" w:rsidRDefault="005A7462" w:rsidP="00590F1B">
      <w:pPr>
        <w:pStyle w:val="Ttulo2"/>
        <w:jc w:val="both"/>
        <w:rPr>
          <w:rFonts w:ascii="Century Gothic" w:hAnsi="Century Gothic"/>
          <w:lang w:val="es-ES"/>
        </w:rPr>
      </w:pPr>
      <w:r w:rsidRPr="0035305D">
        <w:rPr>
          <w:rFonts w:ascii="Century Gothic" w:hAnsi="Century Gothic"/>
          <w:lang w:val="es-ES"/>
        </w:rPr>
        <w:t>Recomendaciones:</w:t>
      </w:r>
    </w:p>
    <w:p w14:paraId="29BF27A2" w14:textId="77777777" w:rsidR="004D304F" w:rsidRPr="0035305D" w:rsidRDefault="004D304F" w:rsidP="004D304F">
      <w:pPr>
        <w:rPr>
          <w:rFonts w:ascii="Century Gothic" w:hAnsi="Century Gothic"/>
          <w:lang w:val="es-ES"/>
        </w:rPr>
      </w:pPr>
    </w:p>
    <w:p w14:paraId="4F9A2A81" w14:textId="661C86A4" w:rsidR="005A7462" w:rsidRPr="0035305D" w:rsidRDefault="005A7462" w:rsidP="00590F1B">
      <w:pPr>
        <w:pStyle w:val="Prrafodelista"/>
        <w:numPr>
          <w:ilvl w:val="0"/>
          <w:numId w:val="3"/>
        </w:numPr>
        <w:jc w:val="both"/>
        <w:rPr>
          <w:rFonts w:ascii="Century Gothic" w:hAnsi="Century Gothic"/>
        </w:rPr>
      </w:pPr>
      <w:r w:rsidRPr="0035305D">
        <w:rPr>
          <w:rFonts w:ascii="Century Gothic" w:hAnsi="Century Gothic"/>
        </w:rPr>
        <w:t xml:space="preserve">La DINEM debería llevar a cabo una evaluación exhaustiva del desempeño de la muestra por estrato y panel en la </w:t>
      </w:r>
      <w:r w:rsidR="004D304F" w:rsidRPr="0035305D">
        <w:rPr>
          <w:rFonts w:ascii="Century Gothic" w:hAnsi="Century Gothic"/>
        </w:rPr>
        <w:t>nueva ENEMDU</w:t>
      </w:r>
      <w:r w:rsidRPr="0035305D">
        <w:rPr>
          <w:rFonts w:ascii="Century Gothic" w:hAnsi="Century Gothic"/>
        </w:rPr>
        <w:t xml:space="preserve"> para comprender mejor cómo la rotación de paneles afecta el número de viviendas efectivas investigadas.</w:t>
      </w:r>
    </w:p>
    <w:p w14:paraId="685D8861" w14:textId="11D2214C" w:rsidR="005A7462" w:rsidRPr="0035305D" w:rsidRDefault="005A7462" w:rsidP="00590F1B">
      <w:pPr>
        <w:pStyle w:val="Prrafodelista"/>
        <w:numPr>
          <w:ilvl w:val="0"/>
          <w:numId w:val="3"/>
        </w:numPr>
        <w:jc w:val="both"/>
        <w:rPr>
          <w:rFonts w:ascii="Century Gothic" w:hAnsi="Century Gothic"/>
        </w:rPr>
      </w:pPr>
      <w:r w:rsidRPr="0035305D">
        <w:rPr>
          <w:rFonts w:ascii="Century Gothic" w:hAnsi="Century Gothic"/>
        </w:rPr>
        <w:t xml:space="preserve">Se recomienda ajustar la estrategia de selección de viviendas en la </w:t>
      </w:r>
      <w:r w:rsidR="004D304F" w:rsidRPr="0035305D">
        <w:rPr>
          <w:rFonts w:ascii="Century Gothic" w:hAnsi="Century Gothic"/>
        </w:rPr>
        <w:t>nueva ENEMDU</w:t>
      </w:r>
      <w:r w:rsidRPr="0035305D">
        <w:rPr>
          <w:rFonts w:ascii="Century Gothic" w:hAnsi="Century Gothic"/>
        </w:rPr>
        <w:t xml:space="preserve"> para garantizar que el número total de viviendas investigadas no exceda la restricción presupuestaria.</w:t>
      </w:r>
    </w:p>
    <w:p w14:paraId="73125A4C" w14:textId="4C71767E" w:rsidR="005A7462" w:rsidRPr="0035305D" w:rsidRDefault="005A7462" w:rsidP="00590F1B">
      <w:pPr>
        <w:pStyle w:val="Prrafodelista"/>
        <w:numPr>
          <w:ilvl w:val="0"/>
          <w:numId w:val="3"/>
        </w:numPr>
        <w:jc w:val="both"/>
        <w:rPr>
          <w:rFonts w:ascii="Century Gothic" w:hAnsi="Century Gothic"/>
        </w:rPr>
      </w:pPr>
      <w:r w:rsidRPr="0035305D">
        <w:rPr>
          <w:rFonts w:ascii="Century Gothic" w:hAnsi="Century Gothic"/>
        </w:rPr>
        <w:t>Sería beneficioso considerar la posibilidad de mantener un equilibrio entre la estabilidad del tamaño de muestra y la eficiencia en la recolección de datos al realizar cambios en el diseño de la encuesta.</w:t>
      </w:r>
    </w:p>
    <w:p w14:paraId="459081CB" w14:textId="6F4F0D8F" w:rsidR="004D304F" w:rsidRPr="0035305D" w:rsidRDefault="004D304F" w:rsidP="00590F1B">
      <w:pPr>
        <w:pStyle w:val="Prrafodelista"/>
        <w:numPr>
          <w:ilvl w:val="0"/>
          <w:numId w:val="3"/>
        </w:numPr>
        <w:jc w:val="both"/>
        <w:rPr>
          <w:rFonts w:ascii="Century Gothic" w:hAnsi="Century Gothic"/>
        </w:rPr>
      </w:pPr>
      <w:r w:rsidRPr="0035305D">
        <w:rPr>
          <w:rFonts w:ascii="Century Gothic" w:hAnsi="Century Gothic"/>
        </w:rPr>
        <w:t>Establecer proceso o proyectos de actualización continua del marco que mejorarían la cobertura de la encuesta.</w:t>
      </w:r>
    </w:p>
    <w:p w14:paraId="0B620571" w14:textId="77777777" w:rsidR="0035305D" w:rsidRPr="0035305D" w:rsidRDefault="0035305D" w:rsidP="0035305D">
      <w:pPr>
        <w:pStyle w:val="Prrafodelista"/>
        <w:jc w:val="both"/>
        <w:rPr>
          <w:rFonts w:ascii="Century Gothic" w:hAnsi="Century Gothic"/>
        </w:rPr>
      </w:pPr>
    </w:p>
    <w:p w14:paraId="05E0AE11" w14:textId="77777777" w:rsidR="0035305D" w:rsidRDefault="0035305D">
      <w:pPr>
        <w:rPr>
          <w:rFonts w:ascii="Century Gothic" w:eastAsiaTheme="majorEastAsia" w:hAnsi="Century Gothic" w:cstheme="majorBidi"/>
          <w:color w:val="2E74B5" w:themeColor="accent1" w:themeShade="BF"/>
          <w:sz w:val="26"/>
          <w:szCs w:val="26"/>
          <w:lang w:val="es-ES"/>
        </w:rPr>
      </w:pPr>
      <w:r>
        <w:rPr>
          <w:rFonts w:ascii="Century Gothic" w:hAnsi="Century Gothic"/>
          <w:lang w:val="es-ES"/>
        </w:rPr>
        <w:br w:type="page"/>
      </w:r>
    </w:p>
    <w:p w14:paraId="3F3F133A" w14:textId="64E37A88" w:rsidR="0035305D" w:rsidRPr="0035305D" w:rsidRDefault="0035305D" w:rsidP="0035305D">
      <w:pPr>
        <w:pStyle w:val="Ttulo2"/>
        <w:jc w:val="both"/>
        <w:rPr>
          <w:rFonts w:ascii="Century Gothic" w:hAnsi="Century Gothic"/>
          <w:lang w:val="es-ES"/>
        </w:rPr>
      </w:pPr>
      <w:r w:rsidRPr="0035305D">
        <w:rPr>
          <w:rFonts w:ascii="Century Gothic" w:hAnsi="Century Gothic"/>
          <w:lang w:val="es-ES"/>
        </w:rPr>
        <w:lastRenderedPageBreak/>
        <w:t>Bibliografía</w:t>
      </w:r>
      <w:r w:rsidRPr="0035305D">
        <w:rPr>
          <w:rFonts w:ascii="Century Gothic" w:hAnsi="Century Gothic"/>
          <w:lang w:val="es-ES"/>
        </w:rPr>
        <w:t>:</w:t>
      </w:r>
    </w:p>
    <w:p w14:paraId="2E604973" w14:textId="77777777" w:rsidR="0035305D" w:rsidRPr="0035305D" w:rsidRDefault="0035305D" w:rsidP="0035305D">
      <w:pPr>
        <w:rPr>
          <w:rFonts w:ascii="Century Gothic" w:hAnsi="Century Gothic"/>
          <w:lang w:val="es-ES"/>
        </w:rPr>
      </w:pPr>
    </w:p>
    <w:p w14:paraId="39A90DA4" w14:textId="77777777" w:rsidR="0035305D" w:rsidRPr="0035305D" w:rsidRDefault="0035305D" w:rsidP="0035305D">
      <w:pPr>
        <w:rPr>
          <w:rFonts w:ascii="Century Gothic" w:hAnsi="Century Gothic"/>
          <w:lang w:val="en-US"/>
        </w:rPr>
      </w:pPr>
      <w:r w:rsidRPr="0035305D">
        <w:rPr>
          <w:rFonts w:ascii="Century Gothic" w:hAnsi="Century Gothic"/>
          <w:lang w:val="en-US"/>
        </w:rPr>
        <w:t>Groves, R. M., &amp; Couper, M. P. (1998). Nonresponse in household interview surveys. John Wiley &amp; Sons.</w:t>
      </w:r>
    </w:p>
    <w:p w14:paraId="257D103E" w14:textId="77777777" w:rsidR="0035305D" w:rsidRPr="0035305D" w:rsidRDefault="0035305D" w:rsidP="0035305D">
      <w:pPr>
        <w:rPr>
          <w:rFonts w:ascii="Century Gothic" w:hAnsi="Century Gothic"/>
          <w:lang w:val="en-US"/>
        </w:rPr>
      </w:pPr>
      <w:r w:rsidRPr="0035305D">
        <w:rPr>
          <w:rFonts w:ascii="Century Gothic" w:hAnsi="Century Gothic"/>
          <w:lang w:val="en-US"/>
        </w:rPr>
        <w:t>Lohr, S. (2019). Sampling: Design and analysis. CRC Press.</w:t>
      </w:r>
    </w:p>
    <w:p w14:paraId="5DC089D8" w14:textId="49E4CED3" w:rsidR="0035305D" w:rsidRPr="0035305D" w:rsidRDefault="0035305D" w:rsidP="0035305D">
      <w:pPr>
        <w:rPr>
          <w:rFonts w:ascii="Century Gothic" w:hAnsi="Century Gothic"/>
          <w:lang w:val="en-US"/>
        </w:rPr>
      </w:pPr>
      <w:r w:rsidRPr="0035305D">
        <w:rPr>
          <w:rFonts w:ascii="Century Gothic" w:hAnsi="Century Gothic"/>
          <w:lang w:val="en-US"/>
        </w:rPr>
        <w:t>Kish, L. (1995). Survey Sampling. Wiley Classics Library Edition</w:t>
      </w:r>
    </w:p>
    <w:p w14:paraId="5C463DDC" w14:textId="77777777" w:rsidR="005A7462" w:rsidRPr="0035305D" w:rsidRDefault="005A7462" w:rsidP="00590F1B">
      <w:pPr>
        <w:jc w:val="both"/>
        <w:rPr>
          <w:rFonts w:ascii="Century Gothic" w:hAnsi="Century Gothic"/>
          <w:lang w:val="en-US"/>
        </w:rPr>
      </w:pPr>
    </w:p>
    <w:p w14:paraId="78AE173A" w14:textId="3CC3135D" w:rsidR="00417CE1" w:rsidRPr="0035305D" w:rsidRDefault="00417CE1" w:rsidP="00590F1B">
      <w:pPr>
        <w:pStyle w:val="Ttulo2"/>
        <w:jc w:val="both"/>
        <w:rPr>
          <w:rFonts w:ascii="Century Gothic" w:hAnsi="Century Gothic"/>
        </w:rPr>
      </w:pPr>
      <w:r w:rsidRPr="0035305D">
        <w:rPr>
          <w:rFonts w:ascii="Century Gothic" w:hAnsi="Century Gothic"/>
        </w:rPr>
        <w:t>Anexo.</w:t>
      </w:r>
    </w:p>
    <w:p w14:paraId="49BDF798" w14:textId="77777777" w:rsidR="00417CE1" w:rsidRPr="0035305D" w:rsidRDefault="00417CE1" w:rsidP="00590F1B">
      <w:pPr>
        <w:jc w:val="both"/>
        <w:rPr>
          <w:rFonts w:ascii="Century Gothic" w:hAnsi="Century Gothic"/>
        </w:rPr>
      </w:pPr>
    </w:p>
    <w:p w14:paraId="17D04EE0" w14:textId="77777777" w:rsidR="00417CE1" w:rsidRPr="0035305D" w:rsidRDefault="00417CE1" w:rsidP="00590F1B">
      <w:pPr>
        <w:pStyle w:val="Descripcin"/>
        <w:keepNext/>
        <w:jc w:val="both"/>
        <w:rPr>
          <w:rFonts w:ascii="Century Gothic" w:hAnsi="Century Gothic"/>
        </w:rPr>
      </w:pPr>
      <w:r w:rsidRPr="0035305D">
        <w:rPr>
          <w:rFonts w:ascii="Century Gothic" w:hAnsi="Century Gothic"/>
        </w:rPr>
        <w:t xml:space="preserve">Tabla </w:t>
      </w:r>
      <w:r w:rsidR="00000000" w:rsidRPr="0035305D">
        <w:rPr>
          <w:rFonts w:ascii="Century Gothic" w:hAnsi="Century Gothic"/>
        </w:rPr>
        <w:fldChar w:fldCharType="begin"/>
      </w:r>
      <w:r w:rsidR="00000000" w:rsidRPr="0035305D">
        <w:rPr>
          <w:rFonts w:ascii="Century Gothic" w:hAnsi="Century Gothic"/>
        </w:rPr>
        <w:instrText xml:space="preserve"> SEQ Tabla \* ARABIC </w:instrText>
      </w:r>
      <w:r w:rsidR="00000000" w:rsidRPr="0035305D">
        <w:rPr>
          <w:rFonts w:ascii="Century Gothic" w:hAnsi="Century Gothic"/>
        </w:rPr>
        <w:fldChar w:fldCharType="separate"/>
      </w:r>
      <w:r w:rsidRPr="0035305D">
        <w:rPr>
          <w:rFonts w:ascii="Century Gothic" w:hAnsi="Century Gothic"/>
          <w:noProof/>
        </w:rPr>
        <w:t>1</w:t>
      </w:r>
      <w:r w:rsidR="00000000" w:rsidRPr="0035305D">
        <w:rPr>
          <w:rFonts w:ascii="Century Gothic" w:hAnsi="Century Gothic"/>
          <w:noProof/>
        </w:rPr>
        <w:fldChar w:fldCharType="end"/>
      </w:r>
      <w:r w:rsidRPr="0035305D">
        <w:rPr>
          <w:rFonts w:ascii="Century Gothic" w:hAnsi="Century Gothic"/>
        </w:rPr>
        <w:t>. Número de viviendas investigadas y efectivas de la ENEMDU</w:t>
      </w:r>
    </w:p>
    <w:tbl>
      <w:tblPr>
        <w:tblStyle w:val="Tablaconcuadrcula1clara"/>
        <w:tblW w:w="5529" w:type="dxa"/>
        <w:jc w:val="center"/>
        <w:tblLook w:val="04A0" w:firstRow="1" w:lastRow="0" w:firstColumn="1" w:lastColumn="0" w:noHBand="0" w:noVBand="1"/>
      </w:tblPr>
      <w:tblGrid>
        <w:gridCol w:w="960"/>
        <w:gridCol w:w="2442"/>
        <w:gridCol w:w="2127"/>
      </w:tblGrid>
      <w:tr w:rsidR="00417CE1" w:rsidRPr="0035305D" w14:paraId="49456F00" w14:textId="77777777" w:rsidTr="0035305D">
        <w:trPr>
          <w:cnfStyle w:val="100000000000" w:firstRow="1" w:lastRow="0" w:firstColumn="0" w:lastColumn="0" w:oddVBand="0" w:evenVBand="0" w:oddHBand="0" w:evenHBand="0" w:firstRowFirstColumn="0" w:firstRowLastColumn="0" w:lastRowFirstColumn="0" w:lastRowLastColumn="0"/>
          <w:trHeight w:val="227"/>
          <w:tblHeader/>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D6E93E2"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Mes</w:t>
            </w:r>
          </w:p>
        </w:tc>
        <w:tc>
          <w:tcPr>
            <w:tcW w:w="2442" w:type="dxa"/>
            <w:noWrap/>
            <w:hideMark/>
          </w:tcPr>
          <w:p w14:paraId="062C1AE6" w14:textId="77777777" w:rsidR="00417CE1" w:rsidRPr="0035305D" w:rsidRDefault="00417CE1" w:rsidP="00590F1B">
            <w:pPr>
              <w:jc w:val="both"/>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Viviendas investigadas ENEMDU</w:t>
            </w:r>
          </w:p>
        </w:tc>
        <w:tc>
          <w:tcPr>
            <w:tcW w:w="2127" w:type="dxa"/>
            <w:noWrap/>
            <w:hideMark/>
          </w:tcPr>
          <w:p w14:paraId="65109C34" w14:textId="77777777" w:rsidR="00417CE1" w:rsidRPr="0035305D" w:rsidRDefault="00417CE1" w:rsidP="00590F1B">
            <w:pPr>
              <w:jc w:val="both"/>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Viviendas efectivas ENEMDU</w:t>
            </w:r>
          </w:p>
        </w:tc>
      </w:tr>
      <w:tr w:rsidR="00417CE1" w:rsidRPr="0035305D" w14:paraId="481A5571"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7C0335D"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2021/01</w:t>
            </w:r>
          </w:p>
        </w:tc>
        <w:tc>
          <w:tcPr>
            <w:tcW w:w="2442" w:type="dxa"/>
            <w:noWrap/>
            <w:hideMark/>
          </w:tcPr>
          <w:p w14:paraId="737F1A86"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11513</w:t>
            </w:r>
          </w:p>
        </w:tc>
        <w:tc>
          <w:tcPr>
            <w:tcW w:w="2127" w:type="dxa"/>
            <w:noWrap/>
            <w:hideMark/>
          </w:tcPr>
          <w:p w14:paraId="6E29792B"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8411</w:t>
            </w:r>
          </w:p>
        </w:tc>
      </w:tr>
      <w:tr w:rsidR="00417CE1" w:rsidRPr="0035305D" w14:paraId="2AAA488F"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54C9C67"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2021/02</w:t>
            </w:r>
          </w:p>
        </w:tc>
        <w:tc>
          <w:tcPr>
            <w:tcW w:w="2442" w:type="dxa"/>
            <w:noWrap/>
            <w:hideMark/>
          </w:tcPr>
          <w:p w14:paraId="5718F8C7"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11489</w:t>
            </w:r>
          </w:p>
        </w:tc>
        <w:tc>
          <w:tcPr>
            <w:tcW w:w="2127" w:type="dxa"/>
            <w:noWrap/>
            <w:hideMark/>
          </w:tcPr>
          <w:p w14:paraId="740CD091"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8371</w:t>
            </w:r>
          </w:p>
        </w:tc>
      </w:tr>
      <w:tr w:rsidR="00417CE1" w:rsidRPr="0035305D" w14:paraId="10A1E307"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1AE4F6B"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2021/03</w:t>
            </w:r>
          </w:p>
        </w:tc>
        <w:tc>
          <w:tcPr>
            <w:tcW w:w="2442" w:type="dxa"/>
            <w:noWrap/>
            <w:hideMark/>
          </w:tcPr>
          <w:p w14:paraId="7729A1EC"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11556</w:t>
            </w:r>
          </w:p>
        </w:tc>
        <w:tc>
          <w:tcPr>
            <w:tcW w:w="2127" w:type="dxa"/>
            <w:noWrap/>
            <w:hideMark/>
          </w:tcPr>
          <w:p w14:paraId="1335C3B6"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8417</w:t>
            </w:r>
          </w:p>
        </w:tc>
      </w:tr>
      <w:tr w:rsidR="00417CE1" w:rsidRPr="0035305D" w14:paraId="4CEBB7B7"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D8F4914"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2021/04</w:t>
            </w:r>
          </w:p>
        </w:tc>
        <w:tc>
          <w:tcPr>
            <w:tcW w:w="2442" w:type="dxa"/>
            <w:noWrap/>
            <w:hideMark/>
          </w:tcPr>
          <w:p w14:paraId="6CF34D51"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10784</w:t>
            </w:r>
          </w:p>
        </w:tc>
        <w:tc>
          <w:tcPr>
            <w:tcW w:w="2127" w:type="dxa"/>
            <w:noWrap/>
            <w:hideMark/>
          </w:tcPr>
          <w:p w14:paraId="4CEA2073"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8593</w:t>
            </w:r>
          </w:p>
        </w:tc>
      </w:tr>
      <w:tr w:rsidR="00417CE1" w:rsidRPr="0035305D" w14:paraId="4F2DB505"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9F3BC74"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2021/05</w:t>
            </w:r>
          </w:p>
        </w:tc>
        <w:tc>
          <w:tcPr>
            <w:tcW w:w="2442" w:type="dxa"/>
            <w:noWrap/>
            <w:hideMark/>
          </w:tcPr>
          <w:p w14:paraId="669160DD"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10882</w:t>
            </w:r>
          </w:p>
        </w:tc>
        <w:tc>
          <w:tcPr>
            <w:tcW w:w="2127" w:type="dxa"/>
            <w:noWrap/>
            <w:hideMark/>
          </w:tcPr>
          <w:p w14:paraId="723DFD5C"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8640</w:t>
            </w:r>
          </w:p>
        </w:tc>
      </w:tr>
      <w:tr w:rsidR="00417CE1" w:rsidRPr="0035305D" w14:paraId="22E8BF69"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78671BC"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2021/06</w:t>
            </w:r>
          </w:p>
        </w:tc>
        <w:tc>
          <w:tcPr>
            <w:tcW w:w="2442" w:type="dxa"/>
            <w:noWrap/>
            <w:hideMark/>
          </w:tcPr>
          <w:p w14:paraId="6BC608DE"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10905</w:t>
            </w:r>
          </w:p>
        </w:tc>
        <w:tc>
          <w:tcPr>
            <w:tcW w:w="2127" w:type="dxa"/>
            <w:noWrap/>
            <w:hideMark/>
          </w:tcPr>
          <w:p w14:paraId="274F291B"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8659</w:t>
            </w:r>
          </w:p>
        </w:tc>
      </w:tr>
      <w:tr w:rsidR="00417CE1" w:rsidRPr="0035305D" w14:paraId="1F6C5906"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603E760"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2021/07</w:t>
            </w:r>
          </w:p>
        </w:tc>
        <w:tc>
          <w:tcPr>
            <w:tcW w:w="2442" w:type="dxa"/>
            <w:noWrap/>
            <w:hideMark/>
          </w:tcPr>
          <w:p w14:paraId="6ED02B9C"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11158</w:t>
            </w:r>
          </w:p>
        </w:tc>
        <w:tc>
          <w:tcPr>
            <w:tcW w:w="2127" w:type="dxa"/>
            <w:noWrap/>
            <w:hideMark/>
          </w:tcPr>
          <w:p w14:paraId="4325E26D"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8472</w:t>
            </w:r>
          </w:p>
        </w:tc>
      </w:tr>
      <w:tr w:rsidR="00417CE1" w:rsidRPr="0035305D" w14:paraId="21F74FE3"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AA00476"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2021/08</w:t>
            </w:r>
          </w:p>
        </w:tc>
        <w:tc>
          <w:tcPr>
            <w:tcW w:w="2442" w:type="dxa"/>
            <w:noWrap/>
            <w:hideMark/>
          </w:tcPr>
          <w:p w14:paraId="07D7EF13"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11053</w:t>
            </w:r>
          </w:p>
        </w:tc>
        <w:tc>
          <w:tcPr>
            <w:tcW w:w="2127" w:type="dxa"/>
            <w:noWrap/>
            <w:hideMark/>
          </w:tcPr>
          <w:p w14:paraId="01FB54F8"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8567</w:t>
            </w:r>
          </w:p>
        </w:tc>
      </w:tr>
      <w:tr w:rsidR="00417CE1" w:rsidRPr="0035305D" w14:paraId="30F7263F"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7C08E3C"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2021/09</w:t>
            </w:r>
          </w:p>
        </w:tc>
        <w:tc>
          <w:tcPr>
            <w:tcW w:w="2442" w:type="dxa"/>
            <w:noWrap/>
            <w:hideMark/>
          </w:tcPr>
          <w:p w14:paraId="211D6B51"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10930</w:t>
            </w:r>
          </w:p>
        </w:tc>
        <w:tc>
          <w:tcPr>
            <w:tcW w:w="2127" w:type="dxa"/>
            <w:noWrap/>
            <w:hideMark/>
          </w:tcPr>
          <w:p w14:paraId="00AABBE6"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8628</w:t>
            </w:r>
          </w:p>
        </w:tc>
      </w:tr>
      <w:tr w:rsidR="00417CE1" w:rsidRPr="0035305D" w14:paraId="622B6697"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4830181"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2021/10</w:t>
            </w:r>
          </w:p>
        </w:tc>
        <w:tc>
          <w:tcPr>
            <w:tcW w:w="2442" w:type="dxa"/>
            <w:noWrap/>
            <w:hideMark/>
          </w:tcPr>
          <w:p w14:paraId="00DD5CD7"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10632</w:t>
            </w:r>
          </w:p>
        </w:tc>
        <w:tc>
          <w:tcPr>
            <w:tcW w:w="2127" w:type="dxa"/>
            <w:noWrap/>
            <w:hideMark/>
          </w:tcPr>
          <w:p w14:paraId="473F4AF5"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8732</w:t>
            </w:r>
          </w:p>
        </w:tc>
      </w:tr>
      <w:tr w:rsidR="00417CE1" w:rsidRPr="0035305D" w14:paraId="468A8356"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60BAACA"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2021/11</w:t>
            </w:r>
          </w:p>
        </w:tc>
        <w:tc>
          <w:tcPr>
            <w:tcW w:w="2442" w:type="dxa"/>
            <w:noWrap/>
            <w:hideMark/>
          </w:tcPr>
          <w:p w14:paraId="78A3CB7D"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10639</w:t>
            </w:r>
          </w:p>
        </w:tc>
        <w:tc>
          <w:tcPr>
            <w:tcW w:w="2127" w:type="dxa"/>
            <w:noWrap/>
            <w:hideMark/>
          </w:tcPr>
          <w:p w14:paraId="3EC27EE2"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8731</w:t>
            </w:r>
          </w:p>
        </w:tc>
      </w:tr>
      <w:tr w:rsidR="00417CE1" w:rsidRPr="0035305D" w14:paraId="1BEDAA06"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ADD4EE9"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2021/12</w:t>
            </w:r>
          </w:p>
        </w:tc>
        <w:tc>
          <w:tcPr>
            <w:tcW w:w="2442" w:type="dxa"/>
            <w:noWrap/>
            <w:hideMark/>
          </w:tcPr>
          <w:p w14:paraId="2729243A"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10664</w:t>
            </w:r>
          </w:p>
        </w:tc>
        <w:tc>
          <w:tcPr>
            <w:tcW w:w="2127" w:type="dxa"/>
            <w:noWrap/>
            <w:hideMark/>
          </w:tcPr>
          <w:p w14:paraId="705F87E7"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8687</w:t>
            </w:r>
          </w:p>
        </w:tc>
      </w:tr>
      <w:tr w:rsidR="00417CE1" w:rsidRPr="0035305D" w14:paraId="7A9D42A2"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7A05A76"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2022/01</w:t>
            </w:r>
          </w:p>
        </w:tc>
        <w:tc>
          <w:tcPr>
            <w:tcW w:w="2442" w:type="dxa"/>
            <w:noWrap/>
            <w:hideMark/>
          </w:tcPr>
          <w:p w14:paraId="2DBB0FC6"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10429</w:t>
            </w:r>
          </w:p>
        </w:tc>
        <w:tc>
          <w:tcPr>
            <w:tcW w:w="2127" w:type="dxa"/>
            <w:noWrap/>
            <w:hideMark/>
          </w:tcPr>
          <w:p w14:paraId="7C58ED87"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8788</w:t>
            </w:r>
          </w:p>
        </w:tc>
      </w:tr>
      <w:tr w:rsidR="00417CE1" w:rsidRPr="0035305D" w14:paraId="6FAF052D"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E1244F2"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2022/02</w:t>
            </w:r>
          </w:p>
        </w:tc>
        <w:tc>
          <w:tcPr>
            <w:tcW w:w="2442" w:type="dxa"/>
            <w:noWrap/>
            <w:hideMark/>
          </w:tcPr>
          <w:p w14:paraId="1DEC011C"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10448</w:t>
            </w:r>
          </w:p>
        </w:tc>
        <w:tc>
          <w:tcPr>
            <w:tcW w:w="2127" w:type="dxa"/>
            <w:noWrap/>
            <w:hideMark/>
          </w:tcPr>
          <w:p w14:paraId="01F35921"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8759</w:t>
            </w:r>
          </w:p>
        </w:tc>
      </w:tr>
      <w:tr w:rsidR="00417CE1" w:rsidRPr="0035305D" w14:paraId="599DF50D"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866866A"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2022/03</w:t>
            </w:r>
          </w:p>
        </w:tc>
        <w:tc>
          <w:tcPr>
            <w:tcW w:w="2442" w:type="dxa"/>
            <w:noWrap/>
            <w:hideMark/>
          </w:tcPr>
          <w:p w14:paraId="003F4CAE"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10414</w:t>
            </w:r>
          </w:p>
        </w:tc>
        <w:tc>
          <w:tcPr>
            <w:tcW w:w="2127" w:type="dxa"/>
            <w:noWrap/>
            <w:hideMark/>
          </w:tcPr>
          <w:p w14:paraId="176D5D38"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8778</w:t>
            </w:r>
          </w:p>
        </w:tc>
      </w:tr>
      <w:tr w:rsidR="00417CE1" w:rsidRPr="0035305D" w14:paraId="748B2B1F"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CED56A"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2022/04</w:t>
            </w:r>
          </w:p>
        </w:tc>
        <w:tc>
          <w:tcPr>
            <w:tcW w:w="2442" w:type="dxa"/>
            <w:noWrap/>
            <w:hideMark/>
          </w:tcPr>
          <w:p w14:paraId="68DDF974"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10385</w:t>
            </w:r>
          </w:p>
        </w:tc>
        <w:tc>
          <w:tcPr>
            <w:tcW w:w="2127" w:type="dxa"/>
            <w:noWrap/>
            <w:hideMark/>
          </w:tcPr>
          <w:p w14:paraId="26B7CEF4"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8751</w:t>
            </w:r>
          </w:p>
        </w:tc>
      </w:tr>
      <w:tr w:rsidR="00417CE1" w:rsidRPr="0035305D" w14:paraId="2F0C15D8"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A024537"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2022/05</w:t>
            </w:r>
          </w:p>
        </w:tc>
        <w:tc>
          <w:tcPr>
            <w:tcW w:w="2442" w:type="dxa"/>
            <w:noWrap/>
            <w:hideMark/>
          </w:tcPr>
          <w:p w14:paraId="642619AF"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10426</w:t>
            </w:r>
          </w:p>
        </w:tc>
        <w:tc>
          <w:tcPr>
            <w:tcW w:w="2127" w:type="dxa"/>
            <w:noWrap/>
            <w:hideMark/>
          </w:tcPr>
          <w:p w14:paraId="24B42C16"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8796</w:t>
            </w:r>
          </w:p>
        </w:tc>
      </w:tr>
      <w:tr w:rsidR="00417CE1" w:rsidRPr="0035305D" w14:paraId="6374E56C"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AECEBD"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2022/06</w:t>
            </w:r>
          </w:p>
        </w:tc>
        <w:tc>
          <w:tcPr>
            <w:tcW w:w="2442" w:type="dxa"/>
            <w:noWrap/>
            <w:hideMark/>
          </w:tcPr>
          <w:p w14:paraId="363E2F9B"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10352</w:t>
            </w:r>
          </w:p>
        </w:tc>
        <w:tc>
          <w:tcPr>
            <w:tcW w:w="2127" w:type="dxa"/>
            <w:noWrap/>
            <w:hideMark/>
          </w:tcPr>
          <w:p w14:paraId="0AB52C65"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8783</w:t>
            </w:r>
          </w:p>
        </w:tc>
      </w:tr>
      <w:tr w:rsidR="00417CE1" w:rsidRPr="0035305D" w14:paraId="5D9B66A2"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6924C0F"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2022/07</w:t>
            </w:r>
          </w:p>
        </w:tc>
        <w:tc>
          <w:tcPr>
            <w:tcW w:w="2442" w:type="dxa"/>
            <w:noWrap/>
            <w:hideMark/>
          </w:tcPr>
          <w:p w14:paraId="057C9D8A"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9967</w:t>
            </w:r>
          </w:p>
        </w:tc>
        <w:tc>
          <w:tcPr>
            <w:tcW w:w="2127" w:type="dxa"/>
            <w:noWrap/>
            <w:hideMark/>
          </w:tcPr>
          <w:p w14:paraId="18B4728E"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8884</w:t>
            </w:r>
          </w:p>
        </w:tc>
      </w:tr>
      <w:tr w:rsidR="00417CE1" w:rsidRPr="0035305D" w14:paraId="470CEB82"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DBD45C5"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2022/08</w:t>
            </w:r>
          </w:p>
        </w:tc>
        <w:tc>
          <w:tcPr>
            <w:tcW w:w="2442" w:type="dxa"/>
            <w:noWrap/>
            <w:hideMark/>
          </w:tcPr>
          <w:p w14:paraId="512A6624"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9795</w:t>
            </w:r>
          </w:p>
        </w:tc>
        <w:tc>
          <w:tcPr>
            <w:tcW w:w="2127" w:type="dxa"/>
            <w:noWrap/>
            <w:hideMark/>
          </w:tcPr>
          <w:p w14:paraId="629D492B"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8934</w:t>
            </w:r>
          </w:p>
        </w:tc>
      </w:tr>
      <w:tr w:rsidR="00417CE1" w:rsidRPr="0035305D" w14:paraId="7C39AD50"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5B3C1DA"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2022/09</w:t>
            </w:r>
          </w:p>
        </w:tc>
        <w:tc>
          <w:tcPr>
            <w:tcW w:w="2442" w:type="dxa"/>
            <w:noWrap/>
            <w:hideMark/>
          </w:tcPr>
          <w:p w14:paraId="6C20AA0D"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9824</w:t>
            </w:r>
          </w:p>
        </w:tc>
        <w:tc>
          <w:tcPr>
            <w:tcW w:w="2127" w:type="dxa"/>
            <w:noWrap/>
            <w:hideMark/>
          </w:tcPr>
          <w:p w14:paraId="3C28971B"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8913</w:t>
            </w:r>
          </w:p>
        </w:tc>
      </w:tr>
      <w:tr w:rsidR="00417CE1" w:rsidRPr="0035305D" w14:paraId="11A45306"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BBAD358"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2022/10</w:t>
            </w:r>
          </w:p>
        </w:tc>
        <w:tc>
          <w:tcPr>
            <w:tcW w:w="2442" w:type="dxa"/>
            <w:noWrap/>
            <w:hideMark/>
          </w:tcPr>
          <w:p w14:paraId="594AA56B"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10138</w:t>
            </w:r>
          </w:p>
        </w:tc>
        <w:tc>
          <w:tcPr>
            <w:tcW w:w="2127" w:type="dxa"/>
            <w:noWrap/>
            <w:hideMark/>
          </w:tcPr>
          <w:p w14:paraId="1FB8DA88"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8821</w:t>
            </w:r>
          </w:p>
        </w:tc>
      </w:tr>
      <w:tr w:rsidR="00417CE1" w:rsidRPr="0035305D" w14:paraId="4EFF64FB"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811C8D2"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2022/11</w:t>
            </w:r>
          </w:p>
        </w:tc>
        <w:tc>
          <w:tcPr>
            <w:tcW w:w="2442" w:type="dxa"/>
            <w:noWrap/>
            <w:hideMark/>
          </w:tcPr>
          <w:p w14:paraId="0D52109C"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10128</w:t>
            </w:r>
          </w:p>
        </w:tc>
        <w:tc>
          <w:tcPr>
            <w:tcW w:w="2127" w:type="dxa"/>
            <w:noWrap/>
            <w:hideMark/>
          </w:tcPr>
          <w:p w14:paraId="2053EEDD"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8827</w:t>
            </w:r>
          </w:p>
        </w:tc>
      </w:tr>
      <w:tr w:rsidR="00417CE1" w:rsidRPr="0035305D" w14:paraId="0F8573CF"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6D1E313"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2022/12</w:t>
            </w:r>
          </w:p>
        </w:tc>
        <w:tc>
          <w:tcPr>
            <w:tcW w:w="2442" w:type="dxa"/>
            <w:noWrap/>
            <w:hideMark/>
          </w:tcPr>
          <w:p w14:paraId="2D012D57"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10097</w:t>
            </w:r>
          </w:p>
        </w:tc>
        <w:tc>
          <w:tcPr>
            <w:tcW w:w="2127" w:type="dxa"/>
            <w:noWrap/>
            <w:hideMark/>
          </w:tcPr>
          <w:p w14:paraId="2135297D"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8814</w:t>
            </w:r>
          </w:p>
        </w:tc>
      </w:tr>
      <w:tr w:rsidR="00417CE1" w:rsidRPr="0035305D" w14:paraId="2E74835E"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B8860C"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2023/01</w:t>
            </w:r>
          </w:p>
        </w:tc>
        <w:tc>
          <w:tcPr>
            <w:tcW w:w="2442" w:type="dxa"/>
            <w:noWrap/>
            <w:hideMark/>
          </w:tcPr>
          <w:p w14:paraId="7AFB3686"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10162</w:t>
            </w:r>
          </w:p>
        </w:tc>
        <w:tc>
          <w:tcPr>
            <w:tcW w:w="2127" w:type="dxa"/>
            <w:noWrap/>
            <w:hideMark/>
          </w:tcPr>
          <w:p w14:paraId="1267AD6A"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8829</w:t>
            </w:r>
          </w:p>
        </w:tc>
      </w:tr>
      <w:tr w:rsidR="00417CE1" w:rsidRPr="0035305D" w14:paraId="6E6F22CC"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6E0680B"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2023/02</w:t>
            </w:r>
          </w:p>
        </w:tc>
        <w:tc>
          <w:tcPr>
            <w:tcW w:w="2442" w:type="dxa"/>
            <w:noWrap/>
            <w:hideMark/>
          </w:tcPr>
          <w:p w14:paraId="2A043EFF"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10232</w:t>
            </w:r>
          </w:p>
        </w:tc>
        <w:tc>
          <w:tcPr>
            <w:tcW w:w="2127" w:type="dxa"/>
            <w:noWrap/>
            <w:hideMark/>
          </w:tcPr>
          <w:p w14:paraId="7FF17DAC"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8816</w:t>
            </w:r>
          </w:p>
        </w:tc>
      </w:tr>
      <w:tr w:rsidR="00417CE1" w:rsidRPr="0035305D" w14:paraId="50CC1403"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896DAEE"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2023/03</w:t>
            </w:r>
          </w:p>
        </w:tc>
        <w:tc>
          <w:tcPr>
            <w:tcW w:w="2442" w:type="dxa"/>
            <w:noWrap/>
            <w:hideMark/>
          </w:tcPr>
          <w:p w14:paraId="0E59A8D1"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10300</w:t>
            </w:r>
          </w:p>
        </w:tc>
        <w:tc>
          <w:tcPr>
            <w:tcW w:w="2127" w:type="dxa"/>
            <w:noWrap/>
            <w:hideMark/>
          </w:tcPr>
          <w:p w14:paraId="20AE10ED"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8788</w:t>
            </w:r>
          </w:p>
        </w:tc>
      </w:tr>
      <w:tr w:rsidR="00417CE1" w:rsidRPr="0035305D" w14:paraId="7E1E4A1C"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0288E9B"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2023/04</w:t>
            </w:r>
          </w:p>
        </w:tc>
        <w:tc>
          <w:tcPr>
            <w:tcW w:w="2442" w:type="dxa"/>
            <w:noWrap/>
            <w:hideMark/>
          </w:tcPr>
          <w:p w14:paraId="6EF3B024"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10304</w:t>
            </w:r>
          </w:p>
        </w:tc>
        <w:tc>
          <w:tcPr>
            <w:tcW w:w="2127" w:type="dxa"/>
            <w:noWrap/>
            <w:hideMark/>
          </w:tcPr>
          <w:p w14:paraId="15B93B22"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8764</w:t>
            </w:r>
          </w:p>
        </w:tc>
      </w:tr>
      <w:tr w:rsidR="00417CE1" w:rsidRPr="0035305D" w14:paraId="09E8F4B5"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B0E0E4D"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2023/05</w:t>
            </w:r>
          </w:p>
        </w:tc>
        <w:tc>
          <w:tcPr>
            <w:tcW w:w="2442" w:type="dxa"/>
            <w:noWrap/>
            <w:hideMark/>
          </w:tcPr>
          <w:p w14:paraId="1547A32D"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10344</w:t>
            </w:r>
          </w:p>
        </w:tc>
        <w:tc>
          <w:tcPr>
            <w:tcW w:w="2127" w:type="dxa"/>
            <w:noWrap/>
            <w:hideMark/>
          </w:tcPr>
          <w:p w14:paraId="784BAAEB"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8751</w:t>
            </w:r>
          </w:p>
        </w:tc>
      </w:tr>
      <w:tr w:rsidR="00417CE1" w:rsidRPr="0035305D" w14:paraId="0F942622"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90076A1"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2023/06</w:t>
            </w:r>
          </w:p>
        </w:tc>
        <w:tc>
          <w:tcPr>
            <w:tcW w:w="2442" w:type="dxa"/>
            <w:noWrap/>
            <w:hideMark/>
          </w:tcPr>
          <w:p w14:paraId="31D3E524"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10401</w:t>
            </w:r>
          </w:p>
        </w:tc>
        <w:tc>
          <w:tcPr>
            <w:tcW w:w="2127" w:type="dxa"/>
            <w:noWrap/>
            <w:hideMark/>
          </w:tcPr>
          <w:p w14:paraId="290A6A13"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8743</w:t>
            </w:r>
          </w:p>
        </w:tc>
      </w:tr>
      <w:tr w:rsidR="00417CE1" w:rsidRPr="0035305D" w14:paraId="33C7C2DD"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187A7EA"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2023/07</w:t>
            </w:r>
          </w:p>
        </w:tc>
        <w:tc>
          <w:tcPr>
            <w:tcW w:w="2442" w:type="dxa"/>
            <w:noWrap/>
            <w:hideMark/>
          </w:tcPr>
          <w:p w14:paraId="0C419361"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10943</w:t>
            </w:r>
          </w:p>
        </w:tc>
        <w:tc>
          <w:tcPr>
            <w:tcW w:w="2127" w:type="dxa"/>
            <w:noWrap/>
            <w:hideMark/>
          </w:tcPr>
          <w:p w14:paraId="4ABF9BC5"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8575</w:t>
            </w:r>
          </w:p>
        </w:tc>
      </w:tr>
      <w:tr w:rsidR="00417CE1" w:rsidRPr="0035305D" w14:paraId="100B3558"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18B5A26"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2023/08</w:t>
            </w:r>
          </w:p>
        </w:tc>
        <w:tc>
          <w:tcPr>
            <w:tcW w:w="2442" w:type="dxa"/>
            <w:noWrap/>
            <w:hideMark/>
          </w:tcPr>
          <w:p w14:paraId="2A0E30AF"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10790</w:t>
            </w:r>
          </w:p>
        </w:tc>
        <w:tc>
          <w:tcPr>
            <w:tcW w:w="2127" w:type="dxa"/>
            <w:noWrap/>
            <w:hideMark/>
          </w:tcPr>
          <w:p w14:paraId="7D6E6AFC"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8642</w:t>
            </w:r>
          </w:p>
        </w:tc>
      </w:tr>
      <w:tr w:rsidR="00417CE1" w:rsidRPr="0035305D" w14:paraId="2F0042A4"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90A24BF"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2023/09</w:t>
            </w:r>
          </w:p>
        </w:tc>
        <w:tc>
          <w:tcPr>
            <w:tcW w:w="2442" w:type="dxa"/>
            <w:noWrap/>
            <w:hideMark/>
          </w:tcPr>
          <w:p w14:paraId="35307A92"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10746</w:t>
            </w:r>
          </w:p>
        </w:tc>
        <w:tc>
          <w:tcPr>
            <w:tcW w:w="2127" w:type="dxa"/>
            <w:noWrap/>
            <w:hideMark/>
          </w:tcPr>
          <w:p w14:paraId="1FDAFBF2"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8635</w:t>
            </w:r>
          </w:p>
        </w:tc>
      </w:tr>
      <w:tr w:rsidR="00417CE1" w:rsidRPr="0035305D" w14:paraId="30430C73"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8094B3F"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2023/10</w:t>
            </w:r>
          </w:p>
        </w:tc>
        <w:tc>
          <w:tcPr>
            <w:tcW w:w="2442" w:type="dxa"/>
            <w:noWrap/>
            <w:hideMark/>
          </w:tcPr>
          <w:p w14:paraId="5798762B"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10453</w:t>
            </w:r>
          </w:p>
        </w:tc>
        <w:tc>
          <w:tcPr>
            <w:tcW w:w="2127" w:type="dxa"/>
            <w:noWrap/>
            <w:hideMark/>
          </w:tcPr>
          <w:p w14:paraId="0EFA3800"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8741</w:t>
            </w:r>
          </w:p>
        </w:tc>
      </w:tr>
      <w:tr w:rsidR="00417CE1" w:rsidRPr="0035305D" w14:paraId="7319B318"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7417750"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2023/11</w:t>
            </w:r>
          </w:p>
        </w:tc>
        <w:tc>
          <w:tcPr>
            <w:tcW w:w="2442" w:type="dxa"/>
            <w:noWrap/>
            <w:hideMark/>
          </w:tcPr>
          <w:p w14:paraId="458B023E"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10446</w:t>
            </w:r>
          </w:p>
        </w:tc>
        <w:tc>
          <w:tcPr>
            <w:tcW w:w="2127" w:type="dxa"/>
            <w:noWrap/>
            <w:hideMark/>
          </w:tcPr>
          <w:p w14:paraId="00E1D7A0"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8732</w:t>
            </w:r>
          </w:p>
        </w:tc>
      </w:tr>
      <w:tr w:rsidR="00417CE1" w:rsidRPr="0035305D" w14:paraId="1EA7B494"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BF892BC"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2023/12</w:t>
            </w:r>
          </w:p>
        </w:tc>
        <w:tc>
          <w:tcPr>
            <w:tcW w:w="2442" w:type="dxa"/>
            <w:noWrap/>
            <w:hideMark/>
          </w:tcPr>
          <w:p w14:paraId="4A2214C8"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10456</w:t>
            </w:r>
          </w:p>
        </w:tc>
        <w:tc>
          <w:tcPr>
            <w:tcW w:w="2127" w:type="dxa"/>
            <w:noWrap/>
            <w:hideMark/>
          </w:tcPr>
          <w:p w14:paraId="1884185F"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8697</w:t>
            </w:r>
          </w:p>
        </w:tc>
      </w:tr>
      <w:tr w:rsidR="00417CE1" w:rsidRPr="0035305D" w14:paraId="2B78953E"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2C750DB"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2024/01</w:t>
            </w:r>
          </w:p>
        </w:tc>
        <w:tc>
          <w:tcPr>
            <w:tcW w:w="2442" w:type="dxa"/>
            <w:noWrap/>
            <w:hideMark/>
          </w:tcPr>
          <w:p w14:paraId="5375B926"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10354</w:t>
            </w:r>
          </w:p>
        </w:tc>
        <w:tc>
          <w:tcPr>
            <w:tcW w:w="2127" w:type="dxa"/>
            <w:noWrap/>
            <w:hideMark/>
          </w:tcPr>
          <w:p w14:paraId="664CCD9B"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8755</w:t>
            </w:r>
          </w:p>
        </w:tc>
      </w:tr>
      <w:tr w:rsidR="00417CE1" w:rsidRPr="0035305D" w14:paraId="3224B093"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C022E82"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2024/02</w:t>
            </w:r>
          </w:p>
        </w:tc>
        <w:tc>
          <w:tcPr>
            <w:tcW w:w="2442" w:type="dxa"/>
            <w:noWrap/>
            <w:hideMark/>
          </w:tcPr>
          <w:p w14:paraId="0ABF19E8"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10341</w:t>
            </w:r>
          </w:p>
        </w:tc>
        <w:tc>
          <w:tcPr>
            <w:tcW w:w="2127" w:type="dxa"/>
            <w:noWrap/>
            <w:hideMark/>
          </w:tcPr>
          <w:p w14:paraId="6051833D"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8756</w:t>
            </w:r>
          </w:p>
        </w:tc>
      </w:tr>
      <w:tr w:rsidR="00417CE1" w:rsidRPr="0035305D" w14:paraId="6F5A8B7C"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496C314"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2024/03</w:t>
            </w:r>
          </w:p>
        </w:tc>
        <w:tc>
          <w:tcPr>
            <w:tcW w:w="2442" w:type="dxa"/>
            <w:noWrap/>
            <w:hideMark/>
          </w:tcPr>
          <w:p w14:paraId="66C6C1A3"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10408</w:t>
            </w:r>
          </w:p>
        </w:tc>
        <w:tc>
          <w:tcPr>
            <w:tcW w:w="2127" w:type="dxa"/>
            <w:noWrap/>
            <w:hideMark/>
          </w:tcPr>
          <w:p w14:paraId="71FF6F37"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8752</w:t>
            </w:r>
          </w:p>
        </w:tc>
      </w:tr>
      <w:tr w:rsidR="00417CE1" w:rsidRPr="0035305D" w14:paraId="18E468FE"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A613A5"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lastRenderedPageBreak/>
              <w:t>2024/04</w:t>
            </w:r>
          </w:p>
        </w:tc>
        <w:tc>
          <w:tcPr>
            <w:tcW w:w="2442" w:type="dxa"/>
            <w:noWrap/>
            <w:hideMark/>
          </w:tcPr>
          <w:p w14:paraId="214CAE09"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10450</w:t>
            </w:r>
          </w:p>
        </w:tc>
        <w:tc>
          <w:tcPr>
            <w:tcW w:w="2127" w:type="dxa"/>
            <w:noWrap/>
            <w:hideMark/>
          </w:tcPr>
          <w:p w14:paraId="15BD43F2" w14:textId="77777777" w:rsidR="00417CE1" w:rsidRPr="0035305D" w:rsidRDefault="00417CE1" w:rsidP="00590F1B">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8752</w:t>
            </w:r>
          </w:p>
        </w:tc>
      </w:tr>
    </w:tbl>
    <w:p w14:paraId="0D9C9618" w14:textId="77777777" w:rsidR="00417CE1" w:rsidRPr="0035305D" w:rsidRDefault="00417CE1" w:rsidP="00590F1B">
      <w:pPr>
        <w:jc w:val="both"/>
        <w:rPr>
          <w:rFonts w:ascii="Century Gothic" w:hAnsi="Century Gothic"/>
        </w:rPr>
      </w:pPr>
    </w:p>
    <w:sectPr w:rsidR="00417CE1" w:rsidRPr="003530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D558C"/>
    <w:multiLevelType w:val="hybridMultilevel"/>
    <w:tmpl w:val="6B18CF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4D63738"/>
    <w:multiLevelType w:val="hybridMultilevel"/>
    <w:tmpl w:val="DFB0F88C"/>
    <w:lvl w:ilvl="0" w:tplc="3D30E99A">
      <w:start w:val="3"/>
      <w:numFmt w:val="bullet"/>
      <w:lvlText w:val="-"/>
      <w:lvlJc w:val="left"/>
      <w:pPr>
        <w:ind w:left="720" w:hanging="360"/>
      </w:pPr>
      <w:rPr>
        <w:rFonts w:ascii="Century Gothic" w:eastAsiaTheme="minorHAnsi" w:hAnsi="Century Gothic"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994191A"/>
    <w:multiLevelType w:val="hybridMultilevel"/>
    <w:tmpl w:val="981E660E"/>
    <w:lvl w:ilvl="0" w:tplc="30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E504482"/>
    <w:multiLevelType w:val="hybridMultilevel"/>
    <w:tmpl w:val="DA603A3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B373DFB"/>
    <w:multiLevelType w:val="hybridMultilevel"/>
    <w:tmpl w:val="FEE64AC8"/>
    <w:lvl w:ilvl="0" w:tplc="3D30E99A">
      <w:start w:val="3"/>
      <w:numFmt w:val="bullet"/>
      <w:lvlText w:val="-"/>
      <w:lvlJc w:val="left"/>
      <w:pPr>
        <w:ind w:left="720" w:hanging="360"/>
      </w:pPr>
      <w:rPr>
        <w:rFonts w:ascii="Century Gothic" w:eastAsiaTheme="minorHAnsi" w:hAnsi="Century Gothic"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CB05447"/>
    <w:multiLevelType w:val="hybridMultilevel"/>
    <w:tmpl w:val="BA6419C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1F3B4419"/>
    <w:multiLevelType w:val="hybridMultilevel"/>
    <w:tmpl w:val="911201F2"/>
    <w:lvl w:ilvl="0" w:tplc="3D30E99A">
      <w:start w:val="3"/>
      <w:numFmt w:val="bullet"/>
      <w:lvlText w:val="-"/>
      <w:lvlJc w:val="left"/>
      <w:pPr>
        <w:ind w:left="720" w:hanging="360"/>
      </w:pPr>
      <w:rPr>
        <w:rFonts w:ascii="Century Gothic" w:eastAsiaTheme="minorHAnsi" w:hAnsi="Century Gothic"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1986A72"/>
    <w:multiLevelType w:val="hybridMultilevel"/>
    <w:tmpl w:val="CBD89E6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24307DBE"/>
    <w:multiLevelType w:val="hybridMultilevel"/>
    <w:tmpl w:val="72F46D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2A57053A"/>
    <w:multiLevelType w:val="hybridMultilevel"/>
    <w:tmpl w:val="6D64F070"/>
    <w:lvl w:ilvl="0" w:tplc="3D30E99A">
      <w:start w:val="3"/>
      <w:numFmt w:val="bullet"/>
      <w:lvlText w:val="-"/>
      <w:lvlJc w:val="left"/>
      <w:pPr>
        <w:ind w:left="720" w:hanging="360"/>
      </w:pPr>
      <w:rPr>
        <w:rFonts w:ascii="Century Gothic" w:eastAsiaTheme="minorHAnsi" w:hAnsi="Century Gothic"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2D875CD1"/>
    <w:multiLevelType w:val="hybridMultilevel"/>
    <w:tmpl w:val="0860BBE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33212521"/>
    <w:multiLevelType w:val="hybridMultilevel"/>
    <w:tmpl w:val="5EA097FE"/>
    <w:lvl w:ilvl="0" w:tplc="3D30E99A">
      <w:start w:val="3"/>
      <w:numFmt w:val="bullet"/>
      <w:lvlText w:val="-"/>
      <w:lvlJc w:val="left"/>
      <w:pPr>
        <w:ind w:left="720" w:hanging="360"/>
      </w:pPr>
      <w:rPr>
        <w:rFonts w:ascii="Century Gothic" w:eastAsiaTheme="minorHAnsi" w:hAnsi="Century Gothic"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3AC43C4F"/>
    <w:multiLevelType w:val="hybridMultilevel"/>
    <w:tmpl w:val="9538F4A2"/>
    <w:lvl w:ilvl="0" w:tplc="3D30E99A">
      <w:start w:val="3"/>
      <w:numFmt w:val="bullet"/>
      <w:lvlText w:val="-"/>
      <w:lvlJc w:val="left"/>
      <w:pPr>
        <w:ind w:left="720" w:hanging="360"/>
      </w:pPr>
      <w:rPr>
        <w:rFonts w:ascii="Century Gothic" w:eastAsiaTheme="minorHAnsi" w:hAnsi="Century Gothic"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46DE6752"/>
    <w:multiLevelType w:val="hybridMultilevel"/>
    <w:tmpl w:val="6E960830"/>
    <w:lvl w:ilvl="0" w:tplc="3D30E99A">
      <w:start w:val="3"/>
      <w:numFmt w:val="bullet"/>
      <w:lvlText w:val="-"/>
      <w:lvlJc w:val="left"/>
      <w:pPr>
        <w:ind w:left="720" w:hanging="360"/>
      </w:pPr>
      <w:rPr>
        <w:rFonts w:ascii="Century Gothic" w:eastAsiaTheme="minorHAnsi" w:hAnsi="Century Gothic"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4D7250FD"/>
    <w:multiLevelType w:val="hybridMultilevel"/>
    <w:tmpl w:val="B3D4422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59677EB1"/>
    <w:multiLevelType w:val="hybridMultilevel"/>
    <w:tmpl w:val="2EE2FF6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5C1E4288"/>
    <w:multiLevelType w:val="hybridMultilevel"/>
    <w:tmpl w:val="3CF260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6F3767E1"/>
    <w:multiLevelType w:val="hybridMultilevel"/>
    <w:tmpl w:val="C75A7F0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728D5A49"/>
    <w:multiLevelType w:val="hybridMultilevel"/>
    <w:tmpl w:val="AD8EB920"/>
    <w:lvl w:ilvl="0" w:tplc="3D30E99A">
      <w:start w:val="3"/>
      <w:numFmt w:val="bullet"/>
      <w:lvlText w:val="-"/>
      <w:lvlJc w:val="left"/>
      <w:pPr>
        <w:ind w:left="720" w:hanging="360"/>
      </w:pPr>
      <w:rPr>
        <w:rFonts w:ascii="Century Gothic" w:eastAsiaTheme="minorHAnsi" w:hAnsi="Century Gothic"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734C0257"/>
    <w:multiLevelType w:val="hybridMultilevel"/>
    <w:tmpl w:val="D41E0E7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74785FE4"/>
    <w:multiLevelType w:val="hybridMultilevel"/>
    <w:tmpl w:val="1E82D4D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75E94D31"/>
    <w:multiLevelType w:val="hybridMultilevel"/>
    <w:tmpl w:val="E80E127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7BE015A1"/>
    <w:multiLevelType w:val="hybridMultilevel"/>
    <w:tmpl w:val="D0FA7FB4"/>
    <w:lvl w:ilvl="0" w:tplc="3D30E99A">
      <w:start w:val="3"/>
      <w:numFmt w:val="bullet"/>
      <w:lvlText w:val="-"/>
      <w:lvlJc w:val="left"/>
      <w:pPr>
        <w:ind w:left="720" w:hanging="360"/>
      </w:pPr>
      <w:rPr>
        <w:rFonts w:ascii="Century Gothic" w:eastAsiaTheme="minorHAnsi" w:hAnsi="Century Gothic"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278417762">
    <w:abstractNumId w:val="17"/>
  </w:num>
  <w:num w:numId="2" w16cid:durableId="1163931783">
    <w:abstractNumId w:val="14"/>
  </w:num>
  <w:num w:numId="3" w16cid:durableId="1430278464">
    <w:abstractNumId w:val="15"/>
  </w:num>
  <w:num w:numId="4" w16cid:durableId="1724862826">
    <w:abstractNumId w:val="20"/>
  </w:num>
  <w:num w:numId="5" w16cid:durableId="1330794379">
    <w:abstractNumId w:val="16"/>
  </w:num>
  <w:num w:numId="6" w16cid:durableId="320816900">
    <w:abstractNumId w:val="13"/>
  </w:num>
  <w:num w:numId="7" w16cid:durableId="2124111461">
    <w:abstractNumId w:val="6"/>
  </w:num>
  <w:num w:numId="8" w16cid:durableId="1307777747">
    <w:abstractNumId w:val="9"/>
  </w:num>
  <w:num w:numId="9" w16cid:durableId="1392535552">
    <w:abstractNumId w:val="8"/>
  </w:num>
  <w:num w:numId="10" w16cid:durableId="1745104864">
    <w:abstractNumId w:val="1"/>
  </w:num>
  <w:num w:numId="11" w16cid:durableId="1428698595">
    <w:abstractNumId w:val="19"/>
  </w:num>
  <w:num w:numId="12" w16cid:durableId="587664816">
    <w:abstractNumId w:val="12"/>
  </w:num>
  <w:num w:numId="13" w16cid:durableId="1366560659">
    <w:abstractNumId w:val="7"/>
  </w:num>
  <w:num w:numId="14" w16cid:durableId="93020941">
    <w:abstractNumId w:val="11"/>
  </w:num>
  <w:num w:numId="15" w16cid:durableId="1649237445">
    <w:abstractNumId w:val="4"/>
  </w:num>
  <w:num w:numId="16" w16cid:durableId="893934639">
    <w:abstractNumId w:val="2"/>
  </w:num>
  <w:num w:numId="17" w16cid:durableId="491406987">
    <w:abstractNumId w:val="0"/>
  </w:num>
  <w:num w:numId="18" w16cid:durableId="745882933">
    <w:abstractNumId w:val="18"/>
  </w:num>
  <w:num w:numId="19" w16cid:durableId="1364869544">
    <w:abstractNumId w:val="22"/>
  </w:num>
  <w:num w:numId="20" w16cid:durableId="1622103209">
    <w:abstractNumId w:val="10"/>
  </w:num>
  <w:num w:numId="21" w16cid:durableId="1983926039">
    <w:abstractNumId w:val="3"/>
  </w:num>
  <w:num w:numId="22" w16cid:durableId="408885663">
    <w:abstractNumId w:val="5"/>
  </w:num>
  <w:num w:numId="23" w16cid:durableId="140957037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F6C"/>
    <w:rsid w:val="00211F6C"/>
    <w:rsid w:val="0035305D"/>
    <w:rsid w:val="00417CE1"/>
    <w:rsid w:val="004D304F"/>
    <w:rsid w:val="00523FB9"/>
    <w:rsid w:val="00590F1B"/>
    <w:rsid w:val="005A7462"/>
    <w:rsid w:val="006161DD"/>
    <w:rsid w:val="008715A0"/>
    <w:rsid w:val="00A5158D"/>
    <w:rsid w:val="00C8014E"/>
    <w:rsid w:val="00CA0266"/>
    <w:rsid w:val="00D21B37"/>
    <w:rsid w:val="00E52617"/>
    <w:rsid w:val="00E54E0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A66D8"/>
  <w15:chartTrackingRefBased/>
  <w15:docId w15:val="{38887F23-7A3B-4AD5-9A73-611BE839B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5A0"/>
  </w:style>
  <w:style w:type="paragraph" w:styleId="Ttulo1">
    <w:name w:val="heading 1"/>
    <w:basedOn w:val="Normal"/>
    <w:next w:val="Normal"/>
    <w:link w:val="Ttulo1Car"/>
    <w:uiPriority w:val="9"/>
    <w:qFormat/>
    <w:rsid w:val="008715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715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15A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715A0"/>
    <w:rPr>
      <w:rFonts w:asciiTheme="majorHAnsi" w:eastAsiaTheme="majorEastAsia" w:hAnsiTheme="majorHAnsi" w:cstheme="majorBidi"/>
      <w:color w:val="2E74B5" w:themeColor="accent1" w:themeShade="BF"/>
      <w:sz w:val="26"/>
      <w:szCs w:val="26"/>
    </w:rPr>
  </w:style>
  <w:style w:type="paragraph" w:styleId="Descripcin">
    <w:name w:val="caption"/>
    <w:basedOn w:val="Normal"/>
    <w:next w:val="Normal"/>
    <w:uiPriority w:val="35"/>
    <w:unhideWhenUsed/>
    <w:qFormat/>
    <w:rsid w:val="00E54E04"/>
    <w:pPr>
      <w:spacing w:after="200" w:line="240" w:lineRule="auto"/>
    </w:pPr>
    <w:rPr>
      <w:i/>
      <w:iCs/>
      <w:color w:val="44546A" w:themeColor="text2"/>
      <w:sz w:val="18"/>
      <w:szCs w:val="18"/>
    </w:rPr>
  </w:style>
  <w:style w:type="table" w:styleId="Tablaconcuadrcula1clara">
    <w:name w:val="Grid Table 1 Light"/>
    <w:basedOn w:val="Tablanormal"/>
    <w:uiPriority w:val="46"/>
    <w:rsid w:val="00417CE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5A7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5706162">
      <w:bodyDiv w:val="1"/>
      <w:marLeft w:val="0"/>
      <w:marRight w:val="0"/>
      <w:marTop w:val="0"/>
      <w:marBottom w:val="0"/>
      <w:divBdr>
        <w:top w:val="none" w:sz="0" w:space="0" w:color="auto"/>
        <w:left w:val="none" w:sz="0" w:space="0" w:color="auto"/>
        <w:bottom w:val="none" w:sz="0" w:space="0" w:color="auto"/>
        <w:right w:val="none" w:sz="0" w:space="0" w:color="auto"/>
      </w:divBdr>
    </w:div>
    <w:div w:id="181929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D:\MAG\marco_upm\pedidos\06_taller_marco\informaci&#243;n\bases_vivienda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Sheet1!$G$1</c:f>
              <c:strCache>
                <c:ptCount val="1"/>
                <c:pt idx="0">
                  <c:v>Viviendas investigadas ENEMDU</c:v>
                </c:pt>
              </c:strCache>
            </c:strRef>
          </c:tx>
          <c:spPr>
            <a:ln w="28575" cap="rnd">
              <a:solidFill>
                <a:schemeClr val="accent1"/>
              </a:solidFill>
              <a:round/>
            </a:ln>
            <a:effectLst/>
          </c:spPr>
          <c:marker>
            <c:symbol val="none"/>
          </c:marker>
          <c:cat>
            <c:strRef>
              <c:f>Sheet1!$F$2:$F$41</c:f>
              <c:strCache>
                <c:ptCount val="40"/>
                <c:pt idx="0">
                  <c:v>2021/01</c:v>
                </c:pt>
                <c:pt idx="1">
                  <c:v>2021/02</c:v>
                </c:pt>
                <c:pt idx="2">
                  <c:v>2021/03</c:v>
                </c:pt>
                <c:pt idx="3">
                  <c:v>2021/04</c:v>
                </c:pt>
                <c:pt idx="4">
                  <c:v>2021/05</c:v>
                </c:pt>
                <c:pt idx="5">
                  <c:v>2021/06</c:v>
                </c:pt>
                <c:pt idx="6">
                  <c:v>2021/07</c:v>
                </c:pt>
                <c:pt idx="7">
                  <c:v>2021/08</c:v>
                </c:pt>
                <c:pt idx="8">
                  <c:v>2021/09</c:v>
                </c:pt>
                <c:pt idx="9">
                  <c:v>2021/10</c:v>
                </c:pt>
                <c:pt idx="10">
                  <c:v>2021/11</c:v>
                </c:pt>
                <c:pt idx="11">
                  <c:v>2021/12</c:v>
                </c:pt>
                <c:pt idx="12">
                  <c:v>2022/01</c:v>
                </c:pt>
                <c:pt idx="13">
                  <c:v>2022/02</c:v>
                </c:pt>
                <c:pt idx="14">
                  <c:v>2022/03</c:v>
                </c:pt>
                <c:pt idx="15">
                  <c:v>2022/04</c:v>
                </c:pt>
                <c:pt idx="16">
                  <c:v>2022/05</c:v>
                </c:pt>
                <c:pt idx="17">
                  <c:v>2022/06</c:v>
                </c:pt>
                <c:pt idx="18">
                  <c:v>2022/07</c:v>
                </c:pt>
                <c:pt idx="19">
                  <c:v>2022/08</c:v>
                </c:pt>
                <c:pt idx="20">
                  <c:v>2022/09</c:v>
                </c:pt>
                <c:pt idx="21">
                  <c:v>2022/10</c:v>
                </c:pt>
                <c:pt idx="22">
                  <c:v>2022/11</c:v>
                </c:pt>
                <c:pt idx="23">
                  <c:v>2022/12</c:v>
                </c:pt>
                <c:pt idx="24">
                  <c:v>2023/01</c:v>
                </c:pt>
                <c:pt idx="25">
                  <c:v>2023/02</c:v>
                </c:pt>
                <c:pt idx="26">
                  <c:v>2023/03</c:v>
                </c:pt>
                <c:pt idx="27">
                  <c:v>2023/04</c:v>
                </c:pt>
                <c:pt idx="28">
                  <c:v>2023/05</c:v>
                </c:pt>
                <c:pt idx="29">
                  <c:v>2023/06</c:v>
                </c:pt>
                <c:pt idx="30">
                  <c:v>2023/07</c:v>
                </c:pt>
                <c:pt idx="31">
                  <c:v>2023/08</c:v>
                </c:pt>
                <c:pt idx="32">
                  <c:v>2023/09</c:v>
                </c:pt>
                <c:pt idx="33">
                  <c:v>2023/10</c:v>
                </c:pt>
                <c:pt idx="34">
                  <c:v>2023/11</c:v>
                </c:pt>
                <c:pt idx="35">
                  <c:v>2023/12</c:v>
                </c:pt>
                <c:pt idx="36">
                  <c:v>2024/01</c:v>
                </c:pt>
                <c:pt idx="37">
                  <c:v>2024/02</c:v>
                </c:pt>
                <c:pt idx="38">
                  <c:v>2024/03</c:v>
                </c:pt>
                <c:pt idx="39">
                  <c:v>2024/04</c:v>
                </c:pt>
              </c:strCache>
            </c:strRef>
          </c:cat>
          <c:val>
            <c:numRef>
              <c:f>Sheet1!$G$2:$G$41</c:f>
              <c:numCache>
                <c:formatCode>General</c:formatCode>
                <c:ptCount val="40"/>
                <c:pt idx="0">
                  <c:v>11513</c:v>
                </c:pt>
                <c:pt idx="1">
                  <c:v>11489</c:v>
                </c:pt>
                <c:pt idx="2">
                  <c:v>11556</c:v>
                </c:pt>
                <c:pt idx="3">
                  <c:v>10784</c:v>
                </c:pt>
                <c:pt idx="4">
                  <c:v>10882</c:v>
                </c:pt>
                <c:pt idx="5">
                  <c:v>10905</c:v>
                </c:pt>
                <c:pt idx="6">
                  <c:v>11158</c:v>
                </c:pt>
                <c:pt idx="7">
                  <c:v>11053</c:v>
                </c:pt>
                <c:pt idx="8">
                  <c:v>10930</c:v>
                </c:pt>
                <c:pt idx="9">
                  <c:v>10632</c:v>
                </c:pt>
                <c:pt idx="10">
                  <c:v>10639</c:v>
                </c:pt>
                <c:pt idx="11">
                  <c:v>10664</c:v>
                </c:pt>
                <c:pt idx="12">
                  <c:v>10429</c:v>
                </c:pt>
                <c:pt idx="13">
                  <c:v>10448</c:v>
                </c:pt>
                <c:pt idx="14">
                  <c:v>10414</c:v>
                </c:pt>
                <c:pt idx="15">
                  <c:v>10385</c:v>
                </c:pt>
                <c:pt idx="16">
                  <c:v>10426</c:v>
                </c:pt>
                <c:pt idx="17">
                  <c:v>10352</c:v>
                </c:pt>
                <c:pt idx="18">
                  <c:v>9967</c:v>
                </c:pt>
                <c:pt idx="19">
                  <c:v>9795</c:v>
                </c:pt>
                <c:pt idx="20">
                  <c:v>9824</c:v>
                </c:pt>
                <c:pt idx="21">
                  <c:v>10138</c:v>
                </c:pt>
                <c:pt idx="22">
                  <c:v>10128</c:v>
                </c:pt>
                <c:pt idx="23">
                  <c:v>10097</c:v>
                </c:pt>
                <c:pt idx="24">
                  <c:v>10162</c:v>
                </c:pt>
                <c:pt idx="25">
                  <c:v>10232</c:v>
                </c:pt>
                <c:pt idx="26">
                  <c:v>10300</c:v>
                </c:pt>
                <c:pt idx="27">
                  <c:v>10304</c:v>
                </c:pt>
                <c:pt idx="28">
                  <c:v>10344</c:v>
                </c:pt>
                <c:pt idx="29">
                  <c:v>10401</c:v>
                </c:pt>
                <c:pt idx="30">
                  <c:v>10943</c:v>
                </c:pt>
                <c:pt idx="31">
                  <c:v>10790</c:v>
                </c:pt>
                <c:pt idx="32">
                  <c:v>10746</c:v>
                </c:pt>
                <c:pt idx="33">
                  <c:v>10453</c:v>
                </c:pt>
                <c:pt idx="34">
                  <c:v>10446</c:v>
                </c:pt>
                <c:pt idx="35">
                  <c:v>10456</c:v>
                </c:pt>
                <c:pt idx="36">
                  <c:v>10354</c:v>
                </c:pt>
                <c:pt idx="37">
                  <c:v>10341</c:v>
                </c:pt>
                <c:pt idx="38">
                  <c:v>10408</c:v>
                </c:pt>
                <c:pt idx="39">
                  <c:v>10450</c:v>
                </c:pt>
              </c:numCache>
            </c:numRef>
          </c:val>
          <c:smooth val="0"/>
          <c:extLst>
            <c:ext xmlns:c16="http://schemas.microsoft.com/office/drawing/2014/chart" uri="{C3380CC4-5D6E-409C-BE32-E72D297353CC}">
              <c16:uniqueId val="{00000000-3F99-4E05-BD0F-5D7558D17D81}"/>
            </c:ext>
          </c:extLst>
        </c:ser>
        <c:ser>
          <c:idx val="1"/>
          <c:order val="1"/>
          <c:tx>
            <c:strRef>
              <c:f>Sheet1!$H$1</c:f>
              <c:strCache>
                <c:ptCount val="1"/>
                <c:pt idx="0">
                  <c:v>Viviendas efectivas ENEMDU</c:v>
                </c:pt>
              </c:strCache>
            </c:strRef>
          </c:tx>
          <c:spPr>
            <a:ln w="28575" cap="rnd">
              <a:solidFill>
                <a:schemeClr val="accent2"/>
              </a:solidFill>
              <a:round/>
            </a:ln>
            <a:effectLst/>
          </c:spPr>
          <c:marker>
            <c:symbol val="none"/>
          </c:marker>
          <c:cat>
            <c:strRef>
              <c:f>Sheet1!$F$2:$F$41</c:f>
              <c:strCache>
                <c:ptCount val="40"/>
                <c:pt idx="0">
                  <c:v>2021/01</c:v>
                </c:pt>
                <c:pt idx="1">
                  <c:v>2021/02</c:v>
                </c:pt>
                <c:pt idx="2">
                  <c:v>2021/03</c:v>
                </c:pt>
                <c:pt idx="3">
                  <c:v>2021/04</c:v>
                </c:pt>
                <c:pt idx="4">
                  <c:v>2021/05</c:v>
                </c:pt>
                <c:pt idx="5">
                  <c:v>2021/06</c:v>
                </c:pt>
                <c:pt idx="6">
                  <c:v>2021/07</c:v>
                </c:pt>
                <c:pt idx="7">
                  <c:v>2021/08</c:v>
                </c:pt>
                <c:pt idx="8">
                  <c:v>2021/09</c:v>
                </c:pt>
                <c:pt idx="9">
                  <c:v>2021/10</c:v>
                </c:pt>
                <c:pt idx="10">
                  <c:v>2021/11</c:v>
                </c:pt>
                <c:pt idx="11">
                  <c:v>2021/12</c:v>
                </c:pt>
                <c:pt idx="12">
                  <c:v>2022/01</c:v>
                </c:pt>
                <c:pt idx="13">
                  <c:v>2022/02</c:v>
                </c:pt>
                <c:pt idx="14">
                  <c:v>2022/03</c:v>
                </c:pt>
                <c:pt idx="15">
                  <c:v>2022/04</c:v>
                </c:pt>
                <c:pt idx="16">
                  <c:v>2022/05</c:v>
                </c:pt>
                <c:pt idx="17">
                  <c:v>2022/06</c:v>
                </c:pt>
                <c:pt idx="18">
                  <c:v>2022/07</c:v>
                </c:pt>
                <c:pt idx="19">
                  <c:v>2022/08</c:v>
                </c:pt>
                <c:pt idx="20">
                  <c:v>2022/09</c:v>
                </c:pt>
                <c:pt idx="21">
                  <c:v>2022/10</c:v>
                </c:pt>
                <c:pt idx="22">
                  <c:v>2022/11</c:v>
                </c:pt>
                <c:pt idx="23">
                  <c:v>2022/12</c:v>
                </c:pt>
                <c:pt idx="24">
                  <c:v>2023/01</c:v>
                </c:pt>
                <c:pt idx="25">
                  <c:v>2023/02</c:v>
                </c:pt>
                <c:pt idx="26">
                  <c:v>2023/03</c:v>
                </c:pt>
                <c:pt idx="27">
                  <c:v>2023/04</c:v>
                </c:pt>
                <c:pt idx="28">
                  <c:v>2023/05</c:v>
                </c:pt>
                <c:pt idx="29">
                  <c:v>2023/06</c:v>
                </c:pt>
                <c:pt idx="30">
                  <c:v>2023/07</c:v>
                </c:pt>
                <c:pt idx="31">
                  <c:v>2023/08</c:v>
                </c:pt>
                <c:pt idx="32">
                  <c:v>2023/09</c:v>
                </c:pt>
                <c:pt idx="33">
                  <c:v>2023/10</c:v>
                </c:pt>
                <c:pt idx="34">
                  <c:v>2023/11</c:v>
                </c:pt>
                <c:pt idx="35">
                  <c:v>2023/12</c:v>
                </c:pt>
                <c:pt idx="36">
                  <c:v>2024/01</c:v>
                </c:pt>
                <c:pt idx="37">
                  <c:v>2024/02</c:v>
                </c:pt>
                <c:pt idx="38">
                  <c:v>2024/03</c:v>
                </c:pt>
                <c:pt idx="39">
                  <c:v>2024/04</c:v>
                </c:pt>
              </c:strCache>
            </c:strRef>
          </c:cat>
          <c:val>
            <c:numRef>
              <c:f>Sheet1!$H$2:$H$41</c:f>
              <c:numCache>
                <c:formatCode>General</c:formatCode>
                <c:ptCount val="40"/>
                <c:pt idx="0">
                  <c:v>8411</c:v>
                </c:pt>
                <c:pt idx="1">
                  <c:v>8371</c:v>
                </c:pt>
                <c:pt idx="2">
                  <c:v>8417</c:v>
                </c:pt>
                <c:pt idx="3">
                  <c:v>8593</c:v>
                </c:pt>
                <c:pt idx="4">
                  <c:v>8640</c:v>
                </c:pt>
                <c:pt idx="5">
                  <c:v>8659</c:v>
                </c:pt>
                <c:pt idx="6">
                  <c:v>8472</c:v>
                </c:pt>
                <c:pt idx="7">
                  <c:v>8567</c:v>
                </c:pt>
                <c:pt idx="8">
                  <c:v>8628</c:v>
                </c:pt>
                <c:pt idx="9">
                  <c:v>8732</c:v>
                </c:pt>
                <c:pt idx="10">
                  <c:v>8731</c:v>
                </c:pt>
                <c:pt idx="11">
                  <c:v>8687</c:v>
                </c:pt>
                <c:pt idx="12">
                  <c:v>8788</c:v>
                </c:pt>
                <c:pt idx="13">
                  <c:v>8759</c:v>
                </c:pt>
                <c:pt idx="14">
                  <c:v>8778</c:v>
                </c:pt>
                <c:pt idx="15">
                  <c:v>8751</c:v>
                </c:pt>
                <c:pt idx="16">
                  <c:v>8796</c:v>
                </c:pt>
                <c:pt idx="17">
                  <c:v>8783</c:v>
                </c:pt>
                <c:pt idx="18">
                  <c:v>8884</c:v>
                </c:pt>
                <c:pt idx="19">
                  <c:v>8934</c:v>
                </c:pt>
                <c:pt idx="20">
                  <c:v>8913</c:v>
                </c:pt>
                <c:pt idx="21">
                  <c:v>8821</c:v>
                </c:pt>
                <c:pt idx="22">
                  <c:v>8827</c:v>
                </c:pt>
                <c:pt idx="23">
                  <c:v>8814</c:v>
                </c:pt>
                <c:pt idx="24">
                  <c:v>8829</c:v>
                </c:pt>
                <c:pt idx="25">
                  <c:v>8816</c:v>
                </c:pt>
                <c:pt idx="26">
                  <c:v>8788</c:v>
                </c:pt>
                <c:pt idx="27">
                  <c:v>8764</c:v>
                </c:pt>
                <c:pt idx="28">
                  <c:v>8751</c:v>
                </c:pt>
                <c:pt idx="29">
                  <c:v>8743</c:v>
                </c:pt>
                <c:pt idx="30">
                  <c:v>8575</c:v>
                </c:pt>
                <c:pt idx="31">
                  <c:v>8642</c:v>
                </c:pt>
                <c:pt idx="32">
                  <c:v>8635</c:v>
                </c:pt>
                <c:pt idx="33">
                  <c:v>8741</c:v>
                </c:pt>
                <c:pt idx="34">
                  <c:v>8732</c:v>
                </c:pt>
                <c:pt idx="35">
                  <c:v>8697</c:v>
                </c:pt>
                <c:pt idx="36">
                  <c:v>8755</c:v>
                </c:pt>
                <c:pt idx="37">
                  <c:v>8756</c:v>
                </c:pt>
                <c:pt idx="38">
                  <c:v>8752</c:v>
                </c:pt>
                <c:pt idx="39">
                  <c:v>8752</c:v>
                </c:pt>
              </c:numCache>
            </c:numRef>
          </c:val>
          <c:smooth val="0"/>
          <c:extLst>
            <c:ext xmlns:c16="http://schemas.microsoft.com/office/drawing/2014/chart" uri="{C3380CC4-5D6E-409C-BE32-E72D297353CC}">
              <c16:uniqueId val="{00000001-3F99-4E05-BD0F-5D7558D17D81}"/>
            </c:ext>
          </c:extLst>
        </c:ser>
        <c:ser>
          <c:idx val="2"/>
          <c:order val="2"/>
          <c:tx>
            <c:strRef>
              <c:f>Sheet1!$I$1</c:f>
              <c:strCache>
                <c:ptCount val="1"/>
                <c:pt idx="0">
                  <c:v>Viviendas planificadas efectivas ENEMDU</c:v>
                </c:pt>
              </c:strCache>
            </c:strRef>
          </c:tx>
          <c:spPr>
            <a:ln w="28575" cap="rnd">
              <a:solidFill>
                <a:schemeClr val="accent3"/>
              </a:solidFill>
              <a:prstDash val="sysDot"/>
              <a:round/>
            </a:ln>
            <a:effectLst/>
          </c:spPr>
          <c:marker>
            <c:symbol val="none"/>
          </c:marker>
          <c:cat>
            <c:strRef>
              <c:f>Sheet1!$F$2:$F$41</c:f>
              <c:strCache>
                <c:ptCount val="40"/>
                <c:pt idx="0">
                  <c:v>2021/01</c:v>
                </c:pt>
                <c:pt idx="1">
                  <c:v>2021/02</c:v>
                </c:pt>
                <c:pt idx="2">
                  <c:v>2021/03</c:v>
                </c:pt>
                <c:pt idx="3">
                  <c:v>2021/04</c:v>
                </c:pt>
                <c:pt idx="4">
                  <c:v>2021/05</c:v>
                </c:pt>
                <c:pt idx="5">
                  <c:v>2021/06</c:v>
                </c:pt>
                <c:pt idx="6">
                  <c:v>2021/07</c:v>
                </c:pt>
                <c:pt idx="7">
                  <c:v>2021/08</c:v>
                </c:pt>
                <c:pt idx="8">
                  <c:v>2021/09</c:v>
                </c:pt>
                <c:pt idx="9">
                  <c:v>2021/10</c:v>
                </c:pt>
                <c:pt idx="10">
                  <c:v>2021/11</c:v>
                </c:pt>
                <c:pt idx="11">
                  <c:v>2021/12</c:v>
                </c:pt>
                <c:pt idx="12">
                  <c:v>2022/01</c:v>
                </c:pt>
                <c:pt idx="13">
                  <c:v>2022/02</c:v>
                </c:pt>
                <c:pt idx="14">
                  <c:v>2022/03</c:v>
                </c:pt>
                <c:pt idx="15">
                  <c:v>2022/04</c:v>
                </c:pt>
                <c:pt idx="16">
                  <c:v>2022/05</c:v>
                </c:pt>
                <c:pt idx="17">
                  <c:v>2022/06</c:v>
                </c:pt>
                <c:pt idx="18">
                  <c:v>2022/07</c:v>
                </c:pt>
                <c:pt idx="19">
                  <c:v>2022/08</c:v>
                </c:pt>
                <c:pt idx="20">
                  <c:v>2022/09</c:v>
                </c:pt>
                <c:pt idx="21">
                  <c:v>2022/10</c:v>
                </c:pt>
                <c:pt idx="22">
                  <c:v>2022/11</c:v>
                </c:pt>
                <c:pt idx="23">
                  <c:v>2022/12</c:v>
                </c:pt>
                <c:pt idx="24">
                  <c:v>2023/01</c:v>
                </c:pt>
                <c:pt idx="25">
                  <c:v>2023/02</c:v>
                </c:pt>
                <c:pt idx="26">
                  <c:v>2023/03</c:v>
                </c:pt>
                <c:pt idx="27">
                  <c:v>2023/04</c:v>
                </c:pt>
                <c:pt idx="28">
                  <c:v>2023/05</c:v>
                </c:pt>
                <c:pt idx="29">
                  <c:v>2023/06</c:v>
                </c:pt>
                <c:pt idx="30">
                  <c:v>2023/07</c:v>
                </c:pt>
                <c:pt idx="31">
                  <c:v>2023/08</c:v>
                </c:pt>
                <c:pt idx="32">
                  <c:v>2023/09</c:v>
                </c:pt>
                <c:pt idx="33">
                  <c:v>2023/10</c:v>
                </c:pt>
                <c:pt idx="34">
                  <c:v>2023/11</c:v>
                </c:pt>
                <c:pt idx="35">
                  <c:v>2023/12</c:v>
                </c:pt>
                <c:pt idx="36">
                  <c:v>2024/01</c:v>
                </c:pt>
                <c:pt idx="37">
                  <c:v>2024/02</c:v>
                </c:pt>
                <c:pt idx="38">
                  <c:v>2024/03</c:v>
                </c:pt>
                <c:pt idx="39">
                  <c:v>2024/04</c:v>
                </c:pt>
              </c:strCache>
            </c:strRef>
          </c:cat>
          <c:val>
            <c:numRef>
              <c:f>Sheet1!$I$2:$I$41</c:f>
              <c:numCache>
                <c:formatCode>General</c:formatCode>
                <c:ptCount val="40"/>
                <c:pt idx="0">
                  <c:v>9016</c:v>
                </c:pt>
                <c:pt idx="1">
                  <c:v>9016</c:v>
                </c:pt>
                <c:pt idx="2">
                  <c:v>9016</c:v>
                </c:pt>
                <c:pt idx="3">
                  <c:v>9016</c:v>
                </c:pt>
                <c:pt idx="4">
                  <c:v>9016</c:v>
                </c:pt>
                <c:pt idx="5">
                  <c:v>9016</c:v>
                </c:pt>
                <c:pt idx="6">
                  <c:v>9016</c:v>
                </c:pt>
                <c:pt idx="7">
                  <c:v>9016</c:v>
                </c:pt>
                <c:pt idx="8">
                  <c:v>9016</c:v>
                </c:pt>
                <c:pt idx="9">
                  <c:v>9016</c:v>
                </c:pt>
                <c:pt idx="10">
                  <c:v>9016</c:v>
                </c:pt>
                <c:pt idx="11">
                  <c:v>9016</c:v>
                </c:pt>
                <c:pt idx="12">
                  <c:v>9016</c:v>
                </c:pt>
                <c:pt idx="13">
                  <c:v>9016</c:v>
                </c:pt>
                <c:pt idx="14">
                  <c:v>9016</c:v>
                </c:pt>
                <c:pt idx="15">
                  <c:v>9016</c:v>
                </c:pt>
                <c:pt idx="16">
                  <c:v>9016</c:v>
                </c:pt>
                <c:pt idx="17">
                  <c:v>9016</c:v>
                </c:pt>
                <c:pt idx="18">
                  <c:v>9016</c:v>
                </c:pt>
                <c:pt idx="19">
                  <c:v>9016</c:v>
                </c:pt>
                <c:pt idx="20">
                  <c:v>9016</c:v>
                </c:pt>
                <c:pt idx="21">
                  <c:v>9016</c:v>
                </c:pt>
                <c:pt idx="22">
                  <c:v>9016</c:v>
                </c:pt>
                <c:pt idx="23">
                  <c:v>9016</c:v>
                </c:pt>
                <c:pt idx="24">
                  <c:v>9016</c:v>
                </c:pt>
                <c:pt idx="25">
                  <c:v>9016</c:v>
                </c:pt>
                <c:pt idx="26">
                  <c:v>9016</c:v>
                </c:pt>
                <c:pt idx="27">
                  <c:v>9016</c:v>
                </c:pt>
                <c:pt idx="28">
                  <c:v>9016</c:v>
                </c:pt>
                <c:pt idx="29">
                  <c:v>9016</c:v>
                </c:pt>
                <c:pt idx="30">
                  <c:v>9016</c:v>
                </c:pt>
                <c:pt idx="31">
                  <c:v>9016</c:v>
                </c:pt>
                <c:pt idx="32">
                  <c:v>9016</c:v>
                </c:pt>
                <c:pt idx="33">
                  <c:v>9016</c:v>
                </c:pt>
                <c:pt idx="34">
                  <c:v>9016</c:v>
                </c:pt>
                <c:pt idx="35">
                  <c:v>9016</c:v>
                </c:pt>
                <c:pt idx="36">
                  <c:v>9016</c:v>
                </c:pt>
                <c:pt idx="37">
                  <c:v>9016</c:v>
                </c:pt>
                <c:pt idx="38">
                  <c:v>9016</c:v>
                </c:pt>
                <c:pt idx="39">
                  <c:v>9016</c:v>
                </c:pt>
              </c:numCache>
            </c:numRef>
          </c:val>
          <c:smooth val="0"/>
          <c:extLst>
            <c:ext xmlns:c16="http://schemas.microsoft.com/office/drawing/2014/chart" uri="{C3380CC4-5D6E-409C-BE32-E72D297353CC}">
              <c16:uniqueId val="{00000002-3F99-4E05-BD0F-5D7558D17D81}"/>
            </c:ext>
          </c:extLst>
        </c:ser>
        <c:ser>
          <c:idx val="3"/>
          <c:order val="3"/>
          <c:tx>
            <c:strRef>
              <c:f>Sheet1!$J$1</c:f>
              <c:strCache>
                <c:ptCount val="1"/>
                <c:pt idx="0">
                  <c:v>Viviendas planificadas totales ENCIET</c:v>
                </c:pt>
              </c:strCache>
            </c:strRef>
          </c:tx>
          <c:spPr>
            <a:ln w="28575" cap="rnd">
              <a:solidFill>
                <a:schemeClr val="accent4"/>
              </a:solidFill>
              <a:prstDash val="sysDot"/>
              <a:round/>
            </a:ln>
            <a:effectLst/>
          </c:spPr>
          <c:marker>
            <c:symbol val="none"/>
          </c:marker>
          <c:cat>
            <c:strRef>
              <c:f>Sheet1!$F$2:$F$41</c:f>
              <c:strCache>
                <c:ptCount val="40"/>
                <c:pt idx="0">
                  <c:v>2021/01</c:v>
                </c:pt>
                <c:pt idx="1">
                  <c:v>2021/02</c:v>
                </c:pt>
                <c:pt idx="2">
                  <c:v>2021/03</c:v>
                </c:pt>
                <c:pt idx="3">
                  <c:v>2021/04</c:v>
                </c:pt>
                <c:pt idx="4">
                  <c:v>2021/05</c:v>
                </c:pt>
                <c:pt idx="5">
                  <c:v>2021/06</c:v>
                </c:pt>
                <c:pt idx="6">
                  <c:v>2021/07</c:v>
                </c:pt>
                <c:pt idx="7">
                  <c:v>2021/08</c:v>
                </c:pt>
                <c:pt idx="8">
                  <c:v>2021/09</c:v>
                </c:pt>
                <c:pt idx="9">
                  <c:v>2021/10</c:v>
                </c:pt>
                <c:pt idx="10">
                  <c:v>2021/11</c:v>
                </c:pt>
                <c:pt idx="11">
                  <c:v>2021/12</c:v>
                </c:pt>
                <c:pt idx="12">
                  <c:v>2022/01</c:v>
                </c:pt>
                <c:pt idx="13">
                  <c:v>2022/02</c:v>
                </c:pt>
                <c:pt idx="14">
                  <c:v>2022/03</c:v>
                </c:pt>
                <c:pt idx="15">
                  <c:v>2022/04</c:v>
                </c:pt>
                <c:pt idx="16">
                  <c:v>2022/05</c:v>
                </c:pt>
                <c:pt idx="17">
                  <c:v>2022/06</c:v>
                </c:pt>
                <c:pt idx="18">
                  <c:v>2022/07</c:v>
                </c:pt>
                <c:pt idx="19">
                  <c:v>2022/08</c:v>
                </c:pt>
                <c:pt idx="20">
                  <c:v>2022/09</c:v>
                </c:pt>
                <c:pt idx="21">
                  <c:v>2022/10</c:v>
                </c:pt>
                <c:pt idx="22">
                  <c:v>2022/11</c:v>
                </c:pt>
                <c:pt idx="23">
                  <c:v>2022/12</c:v>
                </c:pt>
                <c:pt idx="24">
                  <c:v>2023/01</c:v>
                </c:pt>
                <c:pt idx="25">
                  <c:v>2023/02</c:v>
                </c:pt>
                <c:pt idx="26">
                  <c:v>2023/03</c:v>
                </c:pt>
                <c:pt idx="27">
                  <c:v>2023/04</c:v>
                </c:pt>
                <c:pt idx="28">
                  <c:v>2023/05</c:v>
                </c:pt>
                <c:pt idx="29">
                  <c:v>2023/06</c:v>
                </c:pt>
                <c:pt idx="30">
                  <c:v>2023/07</c:v>
                </c:pt>
                <c:pt idx="31">
                  <c:v>2023/08</c:v>
                </c:pt>
                <c:pt idx="32">
                  <c:v>2023/09</c:v>
                </c:pt>
                <c:pt idx="33">
                  <c:v>2023/10</c:v>
                </c:pt>
                <c:pt idx="34">
                  <c:v>2023/11</c:v>
                </c:pt>
                <c:pt idx="35">
                  <c:v>2023/12</c:v>
                </c:pt>
                <c:pt idx="36">
                  <c:v>2024/01</c:v>
                </c:pt>
                <c:pt idx="37">
                  <c:v>2024/02</c:v>
                </c:pt>
                <c:pt idx="38">
                  <c:v>2024/03</c:v>
                </c:pt>
                <c:pt idx="39">
                  <c:v>2024/04</c:v>
                </c:pt>
              </c:strCache>
            </c:strRef>
          </c:cat>
          <c:val>
            <c:numRef>
              <c:f>Sheet1!$J$2:$J$41</c:f>
              <c:numCache>
                <c:formatCode>General</c:formatCode>
                <c:ptCount val="40"/>
                <c:pt idx="0">
                  <c:v>10304</c:v>
                </c:pt>
                <c:pt idx="1">
                  <c:v>10304</c:v>
                </c:pt>
                <c:pt idx="2">
                  <c:v>10304</c:v>
                </c:pt>
                <c:pt idx="3">
                  <c:v>10304</c:v>
                </c:pt>
                <c:pt idx="4">
                  <c:v>10304</c:v>
                </c:pt>
                <c:pt idx="5">
                  <c:v>10304</c:v>
                </c:pt>
                <c:pt idx="6">
                  <c:v>10304</c:v>
                </c:pt>
                <c:pt idx="7">
                  <c:v>10304</c:v>
                </c:pt>
                <c:pt idx="8">
                  <c:v>10304</c:v>
                </c:pt>
                <c:pt idx="9">
                  <c:v>10304</c:v>
                </c:pt>
                <c:pt idx="10">
                  <c:v>10304</c:v>
                </c:pt>
                <c:pt idx="11">
                  <c:v>10304</c:v>
                </c:pt>
                <c:pt idx="12">
                  <c:v>10304</c:v>
                </c:pt>
                <c:pt idx="13">
                  <c:v>10304</c:v>
                </c:pt>
                <c:pt idx="14">
                  <c:v>10304</c:v>
                </c:pt>
                <c:pt idx="15">
                  <c:v>10304</c:v>
                </c:pt>
                <c:pt idx="16">
                  <c:v>10304</c:v>
                </c:pt>
                <c:pt idx="17">
                  <c:v>10304</c:v>
                </c:pt>
                <c:pt idx="18">
                  <c:v>10304</c:v>
                </c:pt>
                <c:pt idx="19">
                  <c:v>10304</c:v>
                </c:pt>
                <c:pt idx="20">
                  <c:v>10304</c:v>
                </c:pt>
                <c:pt idx="21">
                  <c:v>10304</c:v>
                </c:pt>
                <c:pt idx="22">
                  <c:v>10304</c:v>
                </c:pt>
                <c:pt idx="23">
                  <c:v>10304</c:v>
                </c:pt>
                <c:pt idx="24">
                  <c:v>10304</c:v>
                </c:pt>
                <c:pt idx="25">
                  <c:v>10304</c:v>
                </c:pt>
                <c:pt idx="26">
                  <c:v>10304</c:v>
                </c:pt>
                <c:pt idx="27">
                  <c:v>10304</c:v>
                </c:pt>
                <c:pt idx="28">
                  <c:v>10304</c:v>
                </c:pt>
                <c:pt idx="29">
                  <c:v>10304</c:v>
                </c:pt>
                <c:pt idx="30">
                  <c:v>10304</c:v>
                </c:pt>
                <c:pt idx="31">
                  <c:v>10304</c:v>
                </c:pt>
                <c:pt idx="32">
                  <c:v>10304</c:v>
                </c:pt>
                <c:pt idx="33">
                  <c:v>10304</c:v>
                </c:pt>
                <c:pt idx="34">
                  <c:v>10304</c:v>
                </c:pt>
                <c:pt idx="35">
                  <c:v>10304</c:v>
                </c:pt>
                <c:pt idx="36">
                  <c:v>10304</c:v>
                </c:pt>
                <c:pt idx="37">
                  <c:v>10304</c:v>
                </c:pt>
                <c:pt idx="38">
                  <c:v>10304</c:v>
                </c:pt>
                <c:pt idx="39">
                  <c:v>10304</c:v>
                </c:pt>
              </c:numCache>
            </c:numRef>
          </c:val>
          <c:smooth val="0"/>
          <c:extLst>
            <c:ext xmlns:c16="http://schemas.microsoft.com/office/drawing/2014/chart" uri="{C3380CC4-5D6E-409C-BE32-E72D297353CC}">
              <c16:uniqueId val="{00000003-3F99-4E05-BD0F-5D7558D17D81}"/>
            </c:ext>
          </c:extLst>
        </c:ser>
        <c:dLbls>
          <c:showLegendKey val="0"/>
          <c:showVal val="0"/>
          <c:showCatName val="0"/>
          <c:showSerName val="0"/>
          <c:showPercent val="0"/>
          <c:showBubbleSize val="0"/>
        </c:dLbls>
        <c:smooth val="0"/>
        <c:axId val="-160441888"/>
        <c:axId val="-160441344"/>
      </c:lineChart>
      <c:catAx>
        <c:axId val="-160441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EC"/>
          </a:p>
        </c:txPr>
        <c:crossAx val="-160441344"/>
        <c:crosses val="autoZero"/>
        <c:auto val="1"/>
        <c:lblAlgn val="ctr"/>
        <c:lblOffset val="100"/>
        <c:noMultiLvlLbl val="0"/>
      </c:catAx>
      <c:valAx>
        <c:axId val="-160441344"/>
        <c:scaling>
          <c:orientation val="minMax"/>
          <c:max val="12000"/>
          <c:min val="800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160441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1381</Words>
  <Characters>7599</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INEC Angel Gaibor</dc:creator>
  <cp:keywords/>
  <dc:description/>
  <cp:lastModifiedBy>INEC Christian Garces</cp:lastModifiedBy>
  <cp:revision>2</cp:revision>
  <dcterms:created xsi:type="dcterms:W3CDTF">2024-05-15T16:35:00Z</dcterms:created>
  <dcterms:modified xsi:type="dcterms:W3CDTF">2024-05-15T16:35:00Z</dcterms:modified>
</cp:coreProperties>
</file>