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58D" w:rsidRDefault="0013567E" w:rsidP="00E66B1C">
      <w:pPr>
        <w:jc w:val="center"/>
        <w:rPr>
          <w:b/>
          <w:lang w:val="es-ES"/>
        </w:rPr>
      </w:pPr>
      <w:r>
        <w:rPr>
          <w:b/>
          <w:lang w:val="es-ES"/>
        </w:rPr>
        <w:t>Introducción</w:t>
      </w:r>
    </w:p>
    <w:p w:rsidR="00F97FD4" w:rsidRDefault="0013567E" w:rsidP="00E66B1C">
      <w:pPr>
        <w:jc w:val="both"/>
        <w:rPr>
          <w:lang w:val="es-ES"/>
        </w:rPr>
      </w:pPr>
      <w:r>
        <w:rPr>
          <w:lang w:val="es-ES"/>
        </w:rPr>
        <w:t>En</w:t>
      </w:r>
      <w:r w:rsidR="00F97FD4">
        <w:rPr>
          <w:lang w:val="es-ES"/>
        </w:rPr>
        <w:t xml:space="preserve"> el taller </w:t>
      </w:r>
      <w:r>
        <w:rPr>
          <w:lang w:val="es-ES"/>
        </w:rPr>
        <w:t xml:space="preserve">de definiciones para construcción del Marco de Muestreo que se llevó a cabo desde el 6 hasta el 7 de mayo de 2024 se tomaron decisiones para la construcción del Marco muestral y el desarrollo de las diferentes encuestas </w:t>
      </w:r>
      <w:proofErr w:type="spellStart"/>
      <w:r>
        <w:rPr>
          <w:lang w:val="es-ES"/>
        </w:rPr>
        <w:t>intercensales</w:t>
      </w:r>
      <w:proofErr w:type="spellEnd"/>
      <w:r>
        <w:rPr>
          <w:lang w:val="es-ES"/>
        </w:rPr>
        <w:t>.</w:t>
      </w:r>
    </w:p>
    <w:p w:rsidR="0013567E" w:rsidRDefault="0013567E" w:rsidP="00E66B1C">
      <w:pPr>
        <w:jc w:val="both"/>
        <w:rPr>
          <w:lang w:val="es-ES"/>
        </w:rPr>
      </w:pPr>
      <w:r>
        <w:rPr>
          <w:lang w:val="es-ES"/>
        </w:rPr>
        <w:t xml:space="preserve">En función de este taller se llevó a cabo una sesión del Comité de Producción Estadística tras el cual se solicita el justificativo técnico de decisiones entorno a la ENIGHUR y la ENCIET, las cuales se presentan a continuación. </w:t>
      </w:r>
    </w:p>
    <w:p w:rsidR="00E66B1C" w:rsidRDefault="00E66B1C" w:rsidP="00E66B1C">
      <w:pPr>
        <w:jc w:val="center"/>
        <w:rPr>
          <w:b/>
          <w:lang w:val="es-ES"/>
        </w:rPr>
      </w:pPr>
      <w:r>
        <w:rPr>
          <w:b/>
          <w:lang w:val="es-ES"/>
        </w:rPr>
        <w:t>Estratificación del marco muestral</w:t>
      </w:r>
    </w:p>
    <w:p w:rsidR="00E66B1C" w:rsidRDefault="00E66B1C" w:rsidP="00E66B1C">
      <w:pPr>
        <w:jc w:val="both"/>
        <w:rPr>
          <w:lang w:val="es-ES"/>
        </w:rPr>
      </w:pPr>
      <w:r>
        <w:rPr>
          <w:lang w:val="es-ES"/>
        </w:rPr>
        <w:t>Los dominios de estudio de las encuestas influyen directamente en el marco de muestreo puesto que al requerir un tamaño de muestra deben poder delimitarse esto implica considerarlos al momento de determinar los dominios geográficos de estratificación.</w:t>
      </w:r>
    </w:p>
    <w:p w:rsidR="00E66B1C" w:rsidRDefault="00E66B1C" w:rsidP="00E66B1C">
      <w:pPr>
        <w:jc w:val="both"/>
        <w:rPr>
          <w:lang w:val="es-ES"/>
        </w:rPr>
      </w:pPr>
      <w:r>
        <w:rPr>
          <w:lang w:val="es-ES"/>
        </w:rPr>
        <w:t xml:space="preserve">Tradicionalmente en la ENEMDU se han considerado 5 ciudades auto-representadas (Cuenca, Machala, Guayaquil, </w:t>
      </w:r>
      <w:r w:rsidR="0002517D">
        <w:rPr>
          <w:lang w:val="es-ES"/>
        </w:rPr>
        <w:t>Quito y Ambato</w:t>
      </w:r>
      <w:r>
        <w:rPr>
          <w:lang w:val="es-ES"/>
        </w:rPr>
        <w:t>)</w:t>
      </w:r>
      <w:r w:rsidR="0002517D">
        <w:rPr>
          <w:lang w:val="es-ES"/>
        </w:rPr>
        <w:t xml:space="preserve"> y se entregan datos de forma trimestral, mientras que en la ENIGHUR se consideran 9 ciudades auto-representadas (</w:t>
      </w:r>
      <w:r w:rsidR="0002517D" w:rsidRPr="0002517D">
        <w:rPr>
          <w:lang w:val="es-ES"/>
        </w:rPr>
        <w:t>Cuenca, Machala,</w:t>
      </w:r>
      <w:r w:rsidR="0002517D">
        <w:rPr>
          <w:lang w:val="es-ES"/>
        </w:rPr>
        <w:t xml:space="preserve"> Esmeraldas,</w:t>
      </w:r>
      <w:r w:rsidR="0002517D" w:rsidRPr="0002517D">
        <w:rPr>
          <w:lang w:val="es-ES"/>
        </w:rPr>
        <w:t xml:space="preserve"> Guayaquil, </w:t>
      </w:r>
      <w:r w:rsidR="0002517D">
        <w:rPr>
          <w:lang w:val="es-ES"/>
        </w:rPr>
        <w:t xml:space="preserve">Loja, Manta, </w:t>
      </w:r>
      <w:r w:rsidR="0002517D" w:rsidRPr="0002517D">
        <w:rPr>
          <w:lang w:val="es-ES"/>
        </w:rPr>
        <w:t>Quito</w:t>
      </w:r>
      <w:r w:rsidR="0002517D">
        <w:rPr>
          <w:lang w:val="es-ES"/>
        </w:rPr>
        <w:t>,</w:t>
      </w:r>
      <w:r w:rsidR="0002517D" w:rsidRPr="0002517D">
        <w:rPr>
          <w:lang w:val="es-ES"/>
        </w:rPr>
        <w:t xml:space="preserve"> Ambato</w:t>
      </w:r>
      <w:r w:rsidR="0002517D">
        <w:rPr>
          <w:lang w:val="es-ES"/>
        </w:rPr>
        <w:t xml:space="preserve"> y Santo Domingo). Tanto la ENEMDU como la ENIGHUR requieren estos dominios de estudio, sin embargo, </w:t>
      </w:r>
      <w:r w:rsidR="006A1BB8">
        <w:rPr>
          <w:lang w:val="es-ES"/>
        </w:rPr>
        <w:t>en el taller de definiciones para construcción del Marco de Muestreo se decidió cambiar los dominios de ciudad a cantón por lo que los cantones que contienen a las 9 ciudades auto-representadas deben ser incluidos como dominios geográficos de estratificación.</w:t>
      </w:r>
    </w:p>
    <w:p w:rsidR="004141BD" w:rsidRDefault="006A1BB8" w:rsidP="00E66B1C">
      <w:pPr>
        <w:jc w:val="both"/>
        <w:rPr>
          <w:lang w:val="es-ES"/>
        </w:rPr>
      </w:pPr>
      <w:r>
        <w:rPr>
          <w:lang w:val="es-ES"/>
        </w:rPr>
        <w:t>En la si</w:t>
      </w:r>
      <w:r w:rsidR="004E3495">
        <w:rPr>
          <w:lang w:val="es-ES"/>
        </w:rPr>
        <w:t>guiente tabla se detalla el número de UPM por cantón y área, se incluye Riobamba</w:t>
      </w:r>
      <w:r w:rsidR="004141BD">
        <w:rPr>
          <w:lang w:val="es-ES"/>
        </w:rPr>
        <w:t xml:space="preserve"> para tener un total de los 10 cantones más influyentes de acuerdo a un ranking elaborado por DECON.</w:t>
      </w:r>
    </w:p>
    <w:p w:rsidR="004141BD" w:rsidRDefault="004141BD" w:rsidP="004141BD">
      <w:pPr>
        <w:jc w:val="center"/>
      </w:pPr>
      <w:r>
        <w:t xml:space="preserve">Tabla </w:t>
      </w:r>
      <w:fldSimple w:instr=" SEQ Tabla \* ARABIC ">
        <w:r>
          <w:rPr>
            <w:noProof/>
          </w:rPr>
          <w:t>1</w:t>
        </w:r>
      </w:fldSimple>
      <w:r>
        <w:t>. Número de UPM por cantón</w:t>
      </w:r>
    </w:p>
    <w:tbl>
      <w:tblPr>
        <w:tblW w:w="3617" w:type="dxa"/>
        <w:jc w:val="center"/>
        <w:tblCellMar>
          <w:left w:w="0" w:type="dxa"/>
          <w:right w:w="0" w:type="dxa"/>
        </w:tblCellMar>
        <w:tblLook w:val="04A0" w:firstRow="1" w:lastRow="0" w:firstColumn="1" w:lastColumn="0" w:noHBand="0" w:noVBand="1"/>
      </w:tblPr>
      <w:tblGrid>
        <w:gridCol w:w="1217"/>
        <w:gridCol w:w="1200"/>
        <w:gridCol w:w="1200"/>
      </w:tblGrid>
      <w:tr w:rsidR="004141BD" w:rsidRPr="004141BD" w:rsidTr="004141BD">
        <w:trPr>
          <w:trHeight w:val="227"/>
          <w:jc w:val="center"/>
        </w:trPr>
        <w:tc>
          <w:tcPr>
            <w:tcW w:w="1217"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b/>
                <w:color w:val="000000"/>
                <w:sz w:val="20"/>
                <w:lang w:eastAsia="es-EC"/>
              </w:rPr>
            </w:pPr>
            <w:r w:rsidRPr="004141BD">
              <w:rPr>
                <w:rFonts w:ascii="Calibri" w:eastAsia="Calibri" w:hAnsi="Calibri" w:cs="Calibri"/>
                <w:b/>
                <w:color w:val="000000"/>
                <w:sz w:val="20"/>
                <w:lang w:eastAsia="es-EC"/>
              </w:rPr>
              <w:t>Cantón</w:t>
            </w:r>
          </w:p>
        </w:tc>
        <w:tc>
          <w:tcPr>
            <w:tcW w:w="120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b/>
                <w:color w:val="000000"/>
                <w:sz w:val="20"/>
                <w:lang w:eastAsia="es-EC"/>
              </w:rPr>
            </w:pPr>
            <w:r w:rsidRPr="004141BD">
              <w:rPr>
                <w:rFonts w:ascii="Calibri" w:eastAsia="Calibri" w:hAnsi="Calibri" w:cs="Calibri"/>
                <w:b/>
                <w:color w:val="000000"/>
                <w:sz w:val="20"/>
                <w:lang w:eastAsia="es-EC"/>
              </w:rPr>
              <w:t>Área</w:t>
            </w:r>
          </w:p>
        </w:tc>
        <w:tc>
          <w:tcPr>
            <w:tcW w:w="120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b/>
                <w:color w:val="000000"/>
                <w:sz w:val="20"/>
                <w:lang w:eastAsia="es-EC"/>
              </w:rPr>
            </w:pPr>
            <w:r w:rsidRPr="004141BD">
              <w:rPr>
                <w:rFonts w:ascii="Calibri" w:eastAsia="Calibri" w:hAnsi="Calibri" w:cs="Calibri"/>
                <w:b/>
                <w:color w:val="000000"/>
                <w:sz w:val="20"/>
                <w:lang w:eastAsia="es-EC"/>
              </w:rPr>
              <w:t>N° UPM</w:t>
            </w:r>
          </w:p>
        </w:tc>
      </w:tr>
      <w:tr w:rsidR="004141BD" w:rsidRPr="004141BD" w:rsidTr="004141BD">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Cuenca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1</w:t>
            </w:r>
            <w:r>
              <w:rPr>
                <w:rFonts w:ascii="Calibri" w:eastAsia="Calibri" w:hAnsi="Calibri" w:cs="Calibri"/>
                <w:color w:val="000000"/>
                <w:sz w:val="20"/>
                <w:lang w:eastAsia="es-EC"/>
              </w:rPr>
              <w:t>.</w:t>
            </w:r>
            <w:r w:rsidRPr="004141BD">
              <w:rPr>
                <w:rFonts w:ascii="Calibri" w:eastAsia="Calibri" w:hAnsi="Calibri" w:cs="Calibri"/>
                <w:color w:val="000000"/>
                <w:sz w:val="20"/>
                <w:lang w:eastAsia="es-EC"/>
              </w:rPr>
              <w:t>375</w:t>
            </w:r>
          </w:p>
        </w:tc>
      </w:tr>
      <w:tr w:rsidR="004141BD" w:rsidRPr="004141BD" w:rsidTr="004141BD">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601</w:t>
            </w:r>
          </w:p>
        </w:tc>
      </w:tr>
      <w:tr w:rsidR="004141BD" w:rsidRPr="004141BD" w:rsidTr="004141BD">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Riobamba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705</w:t>
            </w:r>
          </w:p>
        </w:tc>
      </w:tr>
      <w:tr w:rsidR="004141BD" w:rsidRPr="004141BD" w:rsidTr="004141BD">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200</w:t>
            </w:r>
          </w:p>
        </w:tc>
      </w:tr>
      <w:tr w:rsidR="004141BD" w:rsidRPr="004141BD" w:rsidTr="004141BD">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Machala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968</w:t>
            </w:r>
          </w:p>
        </w:tc>
      </w:tr>
      <w:tr w:rsidR="004141BD" w:rsidRPr="004141BD" w:rsidTr="004141BD">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35</w:t>
            </w:r>
          </w:p>
        </w:tc>
      </w:tr>
      <w:tr w:rsidR="004141BD" w:rsidRPr="004141BD" w:rsidTr="004141BD">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Esmeraldas</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657</w:t>
            </w:r>
          </w:p>
        </w:tc>
      </w:tr>
      <w:tr w:rsidR="004141BD" w:rsidRPr="004141BD" w:rsidTr="004141BD">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74</w:t>
            </w:r>
          </w:p>
        </w:tc>
      </w:tr>
      <w:tr w:rsidR="004141BD" w:rsidRPr="004141BD" w:rsidTr="004141BD">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Guayaquil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8</w:t>
            </w:r>
            <w:r>
              <w:rPr>
                <w:rFonts w:ascii="Calibri" w:eastAsia="Calibri" w:hAnsi="Calibri" w:cs="Calibri"/>
                <w:color w:val="000000"/>
                <w:sz w:val="20"/>
                <w:lang w:eastAsia="es-EC"/>
              </w:rPr>
              <w:t>.</w:t>
            </w:r>
            <w:r w:rsidRPr="004141BD">
              <w:rPr>
                <w:rFonts w:ascii="Calibri" w:eastAsia="Calibri" w:hAnsi="Calibri" w:cs="Calibri"/>
                <w:color w:val="000000"/>
                <w:sz w:val="20"/>
                <w:lang w:eastAsia="es-EC"/>
              </w:rPr>
              <w:t>869</w:t>
            </w:r>
          </w:p>
        </w:tc>
      </w:tr>
      <w:tr w:rsidR="004141BD" w:rsidRPr="004141BD" w:rsidTr="004141BD">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59</w:t>
            </w:r>
          </w:p>
        </w:tc>
      </w:tr>
      <w:tr w:rsidR="004141BD" w:rsidRPr="004141BD" w:rsidTr="004141BD">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Loja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668</w:t>
            </w:r>
          </w:p>
        </w:tc>
      </w:tr>
      <w:tr w:rsidR="004141BD" w:rsidRPr="004141BD" w:rsidTr="004141BD">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131</w:t>
            </w:r>
          </w:p>
        </w:tc>
      </w:tr>
      <w:tr w:rsidR="004141BD" w:rsidRPr="004141BD" w:rsidTr="004141BD">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Manta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913</w:t>
            </w:r>
          </w:p>
        </w:tc>
      </w:tr>
      <w:tr w:rsidR="004141BD" w:rsidRPr="004141BD" w:rsidTr="004141BD">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7</w:t>
            </w:r>
          </w:p>
        </w:tc>
      </w:tr>
      <w:tr w:rsidR="004141BD" w:rsidRPr="004141BD" w:rsidTr="004141BD">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Quito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8</w:t>
            </w:r>
            <w:r>
              <w:rPr>
                <w:rFonts w:ascii="Calibri" w:eastAsia="Calibri" w:hAnsi="Calibri" w:cs="Calibri"/>
                <w:color w:val="000000"/>
                <w:sz w:val="20"/>
                <w:lang w:eastAsia="es-EC"/>
              </w:rPr>
              <w:t>.</w:t>
            </w:r>
            <w:r w:rsidRPr="004141BD">
              <w:rPr>
                <w:rFonts w:ascii="Calibri" w:eastAsia="Calibri" w:hAnsi="Calibri" w:cs="Calibri"/>
                <w:color w:val="000000"/>
                <w:sz w:val="20"/>
                <w:lang w:eastAsia="es-EC"/>
              </w:rPr>
              <w:t>096</w:t>
            </w:r>
          </w:p>
        </w:tc>
      </w:tr>
      <w:tr w:rsidR="004141BD" w:rsidRPr="004141BD" w:rsidTr="004141BD">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501</w:t>
            </w:r>
          </w:p>
        </w:tc>
      </w:tr>
      <w:tr w:rsidR="004141BD" w:rsidRPr="004141BD" w:rsidTr="004141BD">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Tungurahua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953</w:t>
            </w:r>
          </w:p>
        </w:tc>
      </w:tr>
      <w:tr w:rsidR="004141BD" w:rsidRPr="004141BD" w:rsidTr="004141BD">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384</w:t>
            </w:r>
          </w:p>
        </w:tc>
      </w:tr>
      <w:tr w:rsidR="004141BD" w:rsidRPr="004141BD" w:rsidTr="004141BD">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Santo Domingo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1</w:t>
            </w:r>
            <w:r>
              <w:rPr>
                <w:rFonts w:ascii="Calibri" w:eastAsia="Calibri" w:hAnsi="Calibri" w:cs="Calibri"/>
                <w:color w:val="000000"/>
                <w:sz w:val="20"/>
                <w:lang w:eastAsia="es-EC"/>
              </w:rPr>
              <w:t>.</w:t>
            </w:r>
            <w:r w:rsidRPr="004141BD">
              <w:rPr>
                <w:rFonts w:ascii="Calibri" w:eastAsia="Calibri" w:hAnsi="Calibri" w:cs="Calibri"/>
                <w:color w:val="000000"/>
                <w:sz w:val="20"/>
                <w:lang w:eastAsia="es-EC"/>
              </w:rPr>
              <w:t>254</w:t>
            </w:r>
          </w:p>
        </w:tc>
      </w:tr>
      <w:tr w:rsidR="004141BD" w:rsidRPr="004141BD" w:rsidTr="004141BD">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141BD" w:rsidRPr="004141BD" w:rsidRDefault="004141BD" w:rsidP="004141BD">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235</w:t>
            </w:r>
          </w:p>
        </w:tc>
      </w:tr>
    </w:tbl>
    <w:p w:rsidR="004141BD" w:rsidRDefault="006A1BB8" w:rsidP="004141BD">
      <w:pPr>
        <w:rPr>
          <w:lang w:val="es-ES"/>
        </w:rPr>
      </w:pPr>
      <w:r>
        <w:rPr>
          <w:lang w:val="es-ES"/>
        </w:rPr>
        <w:t xml:space="preserve">                                          </w:t>
      </w:r>
    </w:p>
    <w:p w:rsidR="004141BD" w:rsidRDefault="004141BD" w:rsidP="004141BD">
      <w:pPr>
        <w:rPr>
          <w:lang w:val="es-ES"/>
        </w:rPr>
      </w:pPr>
      <w:r>
        <w:rPr>
          <w:lang w:val="es-ES"/>
        </w:rPr>
        <w:lastRenderedPageBreak/>
        <w:t xml:space="preserve">Los cantones Machala, Esmeraldas, Guayaquil y Manta en su parte rural tienen un número insuficiente de UPM para poderlas considerar como un dominio geográfico de estratificación, por tal motivo para los cantones mencionados solo se considerará su parte urbana como dominio geográfico de estratificación esto implica que </w:t>
      </w:r>
      <w:r w:rsidR="00B84A3A">
        <w:rPr>
          <w:lang w:val="es-ES"/>
        </w:rPr>
        <w:t>el cantón por completo no se puede considerar como dominio de diseño.</w:t>
      </w:r>
      <w:r>
        <w:rPr>
          <w:lang w:val="es-ES"/>
        </w:rPr>
        <w:t xml:space="preserve"> </w:t>
      </w:r>
    </w:p>
    <w:p w:rsidR="006A1BB8" w:rsidRPr="00E66B1C" w:rsidRDefault="006A1BB8" w:rsidP="00E66B1C">
      <w:pPr>
        <w:jc w:val="both"/>
        <w:rPr>
          <w:lang w:val="es-ES"/>
        </w:rPr>
      </w:pPr>
      <w:r>
        <w:rPr>
          <w:lang w:val="es-ES"/>
        </w:rPr>
        <w:t xml:space="preserve">                                                                                                                                                                                                                                                                                                                                                                                                                                                                                                                                                                                                                                                                                                                                         </w:t>
      </w:r>
    </w:p>
    <w:p w:rsidR="0013567E" w:rsidRDefault="0013567E" w:rsidP="00E66B1C">
      <w:pPr>
        <w:jc w:val="center"/>
        <w:rPr>
          <w:b/>
          <w:lang w:val="es-ES"/>
        </w:rPr>
      </w:pPr>
      <w:r>
        <w:rPr>
          <w:b/>
          <w:lang w:val="es-ES"/>
        </w:rPr>
        <w:t>ENIGHUR</w:t>
      </w:r>
    </w:p>
    <w:p w:rsidR="00397F28" w:rsidRDefault="0013567E" w:rsidP="00E66B1C">
      <w:pPr>
        <w:jc w:val="both"/>
        <w:rPr>
          <w:lang w:val="es-ES"/>
        </w:rPr>
      </w:pPr>
      <w:r>
        <w:rPr>
          <w:b/>
          <w:lang w:val="es-ES"/>
        </w:rPr>
        <w:t xml:space="preserve">Variable de diseño: </w:t>
      </w:r>
    </w:p>
    <w:p w:rsidR="0013567E" w:rsidRDefault="006C27E6" w:rsidP="00E66B1C">
      <w:pPr>
        <w:jc w:val="both"/>
        <w:rPr>
          <w:lang w:val="es-ES"/>
        </w:rPr>
      </w:pPr>
      <w:r>
        <w:rPr>
          <w:lang w:val="es-ES"/>
        </w:rPr>
        <w:t>Gasto promedio del hogar. Mediante solicitud enviada a diseño muestral requiere que esta sea la variable de diseño, d</w:t>
      </w:r>
      <w:r w:rsidRPr="006C27E6">
        <w:rPr>
          <w:lang w:val="es-ES"/>
        </w:rPr>
        <w:t>e</w:t>
      </w:r>
      <w:r>
        <w:rPr>
          <w:lang w:val="es-ES"/>
        </w:rPr>
        <w:t xml:space="preserve"> </w:t>
      </w:r>
      <w:r w:rsidRPr="006C27E6">
        <w:rPr>
          <w:lang w:val="es-ES"/>
        </w:rPr>
        <w:t>acuerdo</w:t>
      </w:r>
      <w:r>
        <w:rPr>
          <w:lang w:val="es-ES"/>
        </w:rPr>
        <w:t xml:space="preserve"> </w:t>
      </w:r>
      <w:r w:rsidRPr="006C27E6">
        <w:rPr>
          <w:lang w:val="es-ES"/>
        </w:rPr>
        <w:t>a</w:t>
      </w:r>
      <w:r>
        <w:rPr>
          <w:lang w:val="es-ES"/>
        </w:rPr>
        <w:t xml:space="preserve"> </w:t>
      </w:r>
      <w:r w:rsidRPr="006C27E6">
        <w:rPr>
          <w:lang w:val="es-ES"/>
        </w:rPr>
        <w:t>lo</w:t>
      </w:r>
      <w:r>
        <w:rPr>
          <w:lang w:val="es-ES"/>
        </w:rPr>
        <w:t xml:space="preserve"> </w:t>
      </w:r>
      <w:r w:rsidRPr="006C27E6">
        <w:rPr>
          <w:lang w:val="es-ES"/>
        </w:rPr>
        <w:t>establecido</w:t>
      </w:r>
      <w:r>
        <w:rPr>
          <w:lang w:val="es-ES"/>
        </w:rPr>
        <w:t xml:space="preserve"> </w:t>
      </w:r>
      <w:r w:rsidRPr="006C27E6">
        <w:rPr>
          <w:lang w:val="es-ES"/>
        </w:rPr>
        <w:t>en</w:t>
      </w:r>
      <w:r>
        <w:rPr>
          <w:lang w:val="es-ES"/>
        </w:rPr>
        <w:t xml:space="preserve"> </w:t>
      </w:r>
      <w:r w:rsidRPr="006C27E6">
        <w:rPr>
          <w:lang w:val="es-ES"/>
        </w:rPr>
        <w:t>el</w:t>
      </w:r>
      <w:r>
        <w:rPr>
          <w:lang w:val="es-ES"/>
        </w:rPr>
        <w:t xml:space="preserve"> </w:t>
      </w:r>
      <w:r w:rsidRPr="006C27E6">
        <w:rPr>
          <w:lang w:val="es-ES"/>
        </w:rPr>
        <w:t>2011</w:t>
      </w:r>
      <w:r>
        <w:rPr>
          <w:lang w:val="es-ES"/>
        </w:rPr>
        <w:t xml:space="preserve"> </w:t>
      </w:r>
      <w:r w:rsidRPr="006C27E6">
        <w:rPr>
          <w:lang w:val="es-ES"/>
        </w:rPr>
        <w:t>para</w:t>
      </w:r>
      <w:r>
        <w:rPr>
          <w:lang w:val="es-ES"/>
        </w:rPr>
        <w:t xml:space="preserve"> </w:t>
      </w:r>
      <w:r w:rsidRPr="006C27E6">
        <w:rPr>
          <w:lang w:val="es-ES"/>
        </w:rPr>
        <w:t>calcular</w:t>
      </w:r>
      <w:r>
        <w:rPr>
          <w:lang w:val="es-ES"/>
        </w:rPr>
        <w:t xml:space="preserve"> </w:t>
      </w:r>
      <w:r w:rsidRPr="006C27E6">
        <w:rPr>
          <w:lang w:val="es-ES"/>
        </w:rPr>
        <w:t>los</w:t>
      </w:r>
      <w:r>
        <w:rPr>
          <w:lang w:val="es-ES"/>
        </w:rPr>
        <w:t xml:space="preserve"> </w:t>
      </w:r>
      <w:r w:rsidRPr="006C27E6">
        <w:rPr>
          <w:lang w:val="es-ES"/>
        </w:rPr>
        <w:t>tamaños</w:t>
      </w:r>
      <w:r>
        <w:rPr>
          <w:lang w:val="es-ES"/>
        </w:rPr>
        <w:t xml:space="preserve"> </w:t>
      </w:r>
      <w:r w:rsidRPr="006C27E6">
        <w:rPr>
          <w:lang w:val="es-ES"/>
        </w:rPr>
        <w:t>de</w:t>
      </w:r>
      <w:r>
        <w:rPr>
          <w:lang w:val="es-ES"/>
        </w:rPr>
        <w:t xml:space="preserve"> </w:t>
      </w:r>
      <w:r w:rsidRPr="006C27E6">
        <w:rPr>
          <w:lang w:val="es-ES"/>
        </w:rPr>
        <w:t>muestra</w:t>
      </w:r>
      <w:r>
        <w:rPr>
          <w:lang w:val="es-ES"/>
        </w:rPr>
        <w:t xml:space="preserve"> </w:t>
      </w:r>
      <w:r w:rsidRPr="006C27E6">
        <w:rPr>
          <w:lang w:val="es-ES"/>
        </w:rPr>
        <w:t>de</w:t>
      </w:r>
      <w:r>
        <w:rPr>
          <w:lang w:val="es-ES"/>
        </w:rPr>
        <w:t xml:space="preserve"> </w:t>
      </w:r>
      <w:r w:rsidRPr="006C27E6">
        <w:rPr>
          <w:lang w:val="es-ES"/>
        </w:rPr>
        <w:t>la</w:t>
      </w:r>
      <w:r>
        <w:rPr>
          <w:lang w:val="es-ES"/>
        </w:rPr>
        <w:t xml:space="preserve"> </w:t>
      </w:r>
      <w:r w:rsidRPr="006C27E6">
        <w:rPr>
          <w:lang w:val="es-ES"/>
        </w:rPr>
        <w:t>ENIGHUR,</w:t>
      </w:r>
      <w:r>
        <w:rPr>
          <w:lang w:val="es-ES"/>
        </w:rPr>
        <w:t xml:space="preserve"> </w:t>
      </w:r>
      <w:r w:rsidRPr="006C27E6">
        <w:rPr>
          <w:lang w:val="es-ES"/>
        </w:rPr>
        <w:t>se</w:t>
      </w:r>
      <w:r>
        <w:rPr>
          <w:lang w:val="es-ES"/>
        </w:rPr>
        <w:t xml:space="preserve"> </w:t>
      </w:r>
      <w:r w:rsidRPr="006C27E6">
        <w:rPr>
          <w:lang w:val="es-ES"/>
        </w:rPr>
        <w:t>definió</w:t>
      </w:r>
      <w:r>
        <w:rPr>
          <w:lang w:val="es-ES"/>
        </w:rPr>
        <w:t xml:space="preserve"> </w:t>
      </w:r>
      <w:r w:rsidRPr="006C27E6">
        <w:rPr>
          <w:lang w:val="es-ES"/>
        </w:rPr>
        <w:t>como</w:t>
      </w:r>
      <w:r>
        <w:rPr>
          <w:lang w:val="es-ES"/>
        </w:rPr>
        <w:t xml:space="preserve"> </w:t>
      </w:r>
      <w:r w:rsidRPr="006C27E6">
        <w:rPr>
          <w:lang w:val="es-ES"/>
        </w:rPr>
        <w:t>variable</w:t>
      </w:r>
      <w:r>
        <w:rPr>
          <w:lang w:val="es-ES"/>
        </w:rPr>
        <w:t xml:space="preserve"> </w:t>
      </w:r>
      <w:r w:rsidRPr="006C27E6">
        <w:rPr>
          <w:lang w:val="es-ES"/>
        </w:rPr>
        <w:t>de</w:t>
      </w:r>
      <w:r>
        <w:rPr>
          <w:lang w:val="es-ES"/>
        </w:rPr>
        <w:t xml:space="preserve"> </w:t>
      </w:r>
      <w:r w:rsidRPr="006C27E6">
        <w:rPr>
          <w:lang w:val="es-ES"/>
        </w:rPr>
        <w:t>diseño,</w:t>
      </w:r>
      <w:r>
        <w:rPr>
          <w:lang w:val="es-ES"/>
        </w:rPr>
        <w:t xml:space="preserve"> </w:t>
      </w:r>
      <w:r w:rsidRPr="006C27E6">
        <w:rPr>
          <w:lang w:val="es-ES"/>
        </w:rPr>
        <w:t>el</w:t>
      </w:r>
      <w:r>
        <w:rPr>
          <w:lang w:val="es-ES"/>
        </w:rPr>
        <w:t xml:space="preserve"> </w:t>
      </w:r>
      <w:r w:rsidRPr="006C27E6">
        <w:rPr>
          <w:lang w:val="es-ES"/>
        </w:rPr>
        <w:t>gasto</w:t>
      </w:r>
      <w:r>
        <w:rPr>
          <w:lang w:val="es-ES"/>
        </w:rPr>
        <w:t xml:space="preserve"> </w:t>
      </w:r>
      <w:r w:rsidRPr="006C27E6">
        <w:rPr>
          <w:lang w:val="es-ES"/>
        </w:rPr>
        <w:t>promedio</w:t>
      </w:r>
      <w:r>
        <w:rPr>
          <w:lang w:val="es-ES"/>
        </w:rPr>
        <w:t xml:space="preserve"> </w:t>
      </w:r>
      <w:r w:rsidRPr="006C27E6">
        <w:rPr>
          <w:lang w:val="es-ES"/>
        </w:rPr>
        <w:t>del</w:t>
      </w:r>
      <w:r>
        <w:rPr>
          <w:lang w:val="es-ES"/>
        </w:rPr>
        <w:t xml:space="preserve"> </w:t>
      </w:r>
      <w:r w:rsidRPr="006C27E6">
        <w:rPr>
          <w:lang w:val="es-ES"/>
        </w:rPr>
        <w:t>hogar</w:t>
      </w:r>
      <w:r>
        <w:rPr>
          <w:lang w:val="es-ES"/>
        </w:rPr>
        <w:t xml:space="preserve"> </w:t>
      </w:r>
      <w:r w:rsidRPr="006C27E6">
        <w:rPr>
          <w:lang w:val="es-ES"/>
        </w:rPr>
        <w:t>para</w:t>
      </w:r>
      <w:r>
        <w:rPr>
          <w:lang w:val="es-ES"/>
        </w:rPr>
        <w:t xml:space="preserve"> </w:t>
      </w:r>
      <w:r w:rsidRPr="006C27E6">
        <w:rPr>
          <w:lang w:val="es-ES"/>
        </w:rPr>
        <w:t>cada</w:t>
      </w:r>
      <w:r>
        <w:rPr>
          <w:lang w:val="es-ES"/>
        </w:rPr>
        <w:t xml:space="preserve"> </w:t>
      </w:r>
      <w:r w:rsidRPr="006C27E6">
        <w:rPr>
          <w:lang w:val="es-ES"/>
        </w:rPr>
        <w:t>uno</w:t>
      </w:r>
      <w:r>
        <w:rPr>
          <w:lang w:val="es-ES"/>
        </w:rPr>
        <w:t xml:space="preserve"> </w:t>
      </w:r>
      <w:r w:rsidRPr="006C27E6">
        <w:rPr>
          <w:lang w:val="es-ES"/>
        </w:rPr>
        <w:t>de</w:t>
      </w:r>
      <w:r>
        <w:rPr>
          <w:lang w:val="es-ES"/>
        </w:rPr>
        <w:t xml:space="preserve"> </w:t>
      </w:r>
      <w:r w:rsidRPr="006C27E6">
        <w:rPr>
          <w:lang w:val="es-ES"/>
        </w:rPr>
        <w:t>los</w:t>
      </w:r>
      <w:r>
        <w:rPr>
          <w:lang w:val="es-ES"/>
        </w:rPr>
        <w:t xml:space="preserve"> </w:t>
      </w:r>
      <w:r w:rsidRPr="006C27E6">
        <w:rPr>
          <w:lang w:val="es-ES"/>
        </w:rPr>
        <w:t>12</w:t>
      </w:r>
      <w:r>
        <w:rPr>
          <w:lang w:val="es-ES"/>
        </w:rPr>
        <w:t xml:space="preserve"> </w:t>
      </w:r>
      <w:r w:rsidRPr="006C27E6">
        <w:rPr>
          <w:lang w:val="es-ES"/>
        </w:rPr>
        <w:t>rubros</w:t>
      </w:r>
      <w:r>
        <w:rPr>
          <w:lang w:val="es-ES"/>
        </w:rPr>
        <w:t xml:space="preserve"> </w:t>
      </w:r>
      <w:r w:rsidRPr="006C27E6">
        <w:rPr>
          <w:lang w:val="es-ES"/>
        </w:rPr>
        <w:t>de</w:t>
      </w:r>
      <w:r>
        <w:rPr>
          <w:lang w:val="es-ES"/>
        </w:rPr>
        <w:t xml:space="preserve"> </w:t>
      </w:r>
      <w:r w:rsidRPr="006C27E6">
        <w:rPr>
          <w:lang w:val="es-ES"/>
        </w:rPr>
        <w:t>gastos</w:t>
      </w:r>
      <w:r>
        <w:rPr>
          <w:lang w:val="es-ES"/>
        </w:rPr>
        <w:t xml:space="preserve"> </w:t>
      </w:r>
      <w:r w:rsidRPr="006C27E6">
        <w:rPr>
          <w:lang w:val="es-ES"/>
        </w:rPr>
        <w:t>considerado</w:t>
      </w:r>
      <w:r>
        <w:rPr>
          <w:lang w:val="es-ES"/>
        </w:rPr>
        <w:t xml:space="preserve"> </w:t>
      </w:r>
      <w:r w:rsidRPr="006C27E6">
        <w:rPr>
          <w:lang w:val="es-ES"/>
        </w:rPr>
        <w:t>en</w:t>
      </w:r>
      <w:r>
        <w:rPr>
          <w:lang w:val="es-ES"/>
        </w:rPr>
        <w:t xml:space="preserve"> </w:t>
      </w:r>
      <w:r w:rsidRPr="006C27E6">
        <w:rPr>
          <w:lang w:val="es-ES"/>
        </w:rPr>
        <w:t>el</w:t>
      </w:r>
      <w:r>
        <w:rPr>
          <w:lang w:val="es-ES"/>
        </w:rPr>
        <w:t xml:space="preserve"> IPC</w:t>
      </w:r>
      <w:r w:rsidRPr="006C27E6">
        <w:rPr>
          <w:lang w:val="es-ES"/>
        </w:rPr>
        <w:t>.</w:t>
      </w:r>
    </w:p>
    <w:p w:rsidR="006C27E6" w:rsidRDefault="006C27E6" w:rsidP="00E66B1C">
      <w:pPr>
        <w:jc w:val="both"/>
        <w:rPr>
          <w:b/>
          <w:lang w:val="es-ES"/>
        </w:rPr>
      </w:pPr>
      <w:r>
        <w:rPr>
          <w:b/>
          <w:lang w:val="es-ES"/>
        </w:rPr>
        <w:t>Dominios de estudio:</w:t>
      </w:r>
    </w:p>
    <w:p w:rsidR="006C27E6" w:rsidRDefault="006C27E6" w:rsidP="00E66B1C">
      <w:pPr>
        <w:jc w:val="both"/>
        <w:rPr>
          <w:lang w:val="es-ES"/>
        </w:rPr>
      </w:pPr>
      <w:r w:rsidRPr="006C27E6">
        <w:rPr>
          <w:lang w:val="es-ES"/>
        </w:rPr>
        <w:t>Nacional, urbano, rural, 24 provincias</w:t>
      </w:r>
      <w:r w:rsidRPr="005176A7">
        <w:rPr>
          <w:lang w:val="es-ES"/>
        </w:rPr>
        <w:t xml:space="preserve">, </w:t>
      </w:r>
      <w:r w:rsidR="005176A7">
        <w:rPr>
          <w:lang w:val="es-ES"/>
        </w:rPr>
        <w:t>5</w:t>
      </w:r>
      <w:r w:rsidRPr="005176A7">
        <w:rPr>
          <w:lang w:val="es-ES"/>
        </w:rPr>
        <w:t xml:space="preserve"> cantones</w:t>
      </w:r>
      <w:r w:rsidR="005176A7">
        <w:rPr>
          <w:lang w:val="es-ES"/>
        </w:rPr>
        <w:t xml:space="preserve"> (Cuenca, Loja, Quito, Ambato y Santo Domingo) y 4 cantones urbanos (Machala, Esmeraldas, Guayaquil y Manta)</w:t>
      </w:r>
      <w:r>
        <w:rPr>
          <w:lang w:val="es-ES"/>
        </w:rPr>
        <w:t>. En comparación con la ENIGHUR del año anterior se tendrá el dato a nivel cantonal en lugar de las 9 ciudades auto-representadas, en reunión del día 13 de mayo de 2024 se consultó a DECON si esta cambio afectaría a sus productos y se indicó que no.</w:t>
      </w:r>
      <w:r w:rsidR="00AB3E7D">
        <w:rPr>
          <w:lang w:val="es-ES"/>
        </w:rPr>
        <w:t xml:space="preserve"> </w:t>
      </w:r>
      <w:r w:rsidR="009F73F8">
        <w:rPr>
          <w:lang w:val="es-ES"/>
        </w:rPr>
        <w:t>La comparabilidad debe realizarse una vez que se cuente con los datos ya que las 9 ciudades auto-representadas serán tratadas como dominios de análisis.</w:t>
      </w:r>
    </w:p>
    <w:p w:rsidR="00991E36" w:rsidRDefault="00991E36" w:rsidP="00E66B1C">
      <w:pPr>
        <w:jc w:val="both"/>
        <w:rPr>
          <w:b/>
          <w:lang w:val="es-ES"/>
        </w:rPr>
      </w:pPr>
      <w:r>
        <w:rPr>
          <w:b/>
          <w:lang w:val="es-ES"/>
        </w:rPr>
        <w:t>Tamaño muestral:</w:t>
      </w:r>
    </w:p>
    <w:p w:rsidR="00991E36" w:rsidRDefault="00991E36" w:rsidP="00E66B1C">
      <w:pPr>
        <w:jc w:val="both"/>
        <w:rPr>
          <w:lang w:val="es-ES"/>
        </w:rPr>
      </w:pPr>
      <w:r>
        <w:rPr>
          <w:lang w:val="es-ES"/>
        </w:rPr>
        <w:t xml:space="preserve">3.432 UPM – 41184 viviendas. </w:t>
      </w:r>
      <w:r w:rsidRPr="00991E36">
        <w:rPr>
          <w:lang w:val="es-ES"/>
        </w:rPr>
        <w:t>Está asociado a los dominios de estudio y la variable de diseño, cuenta con una tasa de no respuesta del 20%</w:t>
      </w:r>
      <w:r>
        <w:rPr>
          <w:lang w:val="es-ES"/>
        </w:rPr>
        <w:t>.</w:t>
      </w:r>
    </w:p>
    <w:p w:rsidR="00991E36" w:rsidRDefault="00991E36" w:rsidP="00E66B1C">
      <w:pPr>
        <w:jc w:val="both"/>
        <w:rPr>
          <w:b/>
          <w:lang w:val="es-ES"/>
        </w:rPr>
      </w:pPr>
      <w:r>
        <w:rPr>
          <w:b/>
          <w:lang w:val="es-ES"/>
        </w:rPr>
        <w:t>Coordinación de muestras:</w:t>
      </w:r>
    </w:p>
    <w:p w:rsidR="00991E36" w:rsidRDefault="00991E36" w:rsidP="00E66B1C">
      <w:pPr>
        <w:jc w:val="both"/>
        <w:rPr>
          <w:lang w:val="es-ES"/>
        </w:rPr>
      </w:pPr>
      <w:r>
        <w:rPr>
          <w:lang w:val="es-ES"/>
        </w:rPr>
        <w:t xml:space="preserve">Coordinación negativa con ENDI. </w:t>
      </w:r>
      <w:r w:rsidRPr="00991E36">
        <w:rPr>
          <w:lang w:val="es-ES"/>
        </w:rPr>
        <w:t>En función al acuerdo de mantener presupuestos independientes entre la ENIGHUR y la ENDI</w:t>
      </w:r>
      <w:r>
        <w:rPr>
          <w:lang w:val="es-ES"/>
        </w:rPr>
        <w:t>, por lo que se seleccionarán muestras independientes entre sí, a excepción de los dominios con un número de UPM insuficiente.</w:t>
      </w:r>
    </w:p>
    <w:p w:rsidR="00991E36" w:rsidRDefault="00991E36" w:rsidP="00E66B1C">
      <w:pPr>
        <w:jc w:val="both"/>
        <w:rPr>
          <w:b/>
          <w:lang w:val="es-ES"/>
        </w:rPr>
      </w:pPr>
      <w:r>
        <w:rPr>
          <w:b/>
          <w:lang w:val="es-ES"/>
        </w:rPr>
        <w:t>Reemplazos de viviendas:</w:t>
      </w:r>
    </w:p>
    <w:p w:rsidR="00991E36" w:rsidRDefault="00991E36" w:rsidP="00E66B1C">
      <w:pPr>
        <w:jc w:val="both"/>
        <w:rPr>
          <w:lang w:val="es-ES"/>
        </w:rPr>
      </w:pPr>
      <w:r>
        <w:rPr>
          <w:lang w:val="es-ES"/>
        </w:rPr>
        <w:t>No se utilizará. El</w:t>
      </w:r>
      <w:r w:rsidRPr="00991E36">
        <w:rPr>
          <w:lang w:val="es-ES"/>
        </w:rPr>
        <w:t xml:space="preserve"> cálculo del tamaño muestral incluye un </w:t>
      </w:r>
      <w:proofErr w:type="spellStart"/>
      <w:r w:rsidRPr="00991E36">
        <w:rPr>
          <w:lang w:val="es-ES"/>
        </w:rPr>
        <w:t>sobremuestreo</w:t>
      </w:r>
      <w:proofErr w:type="spellEnd"/>
      <w:r w:rsidRPr="00991E36">
        <w:rPr>
          <w:lang w:val="es-ES"/>
        </w:rPr>
        <w:t xml:space="preserve"> por una tasa de no respuesta esperada, además la operación estadística cuenta con enlistamiento</w:t>
      </w:r>
      <w:r>
        <w:rPr>
          <w:lang w:val="es-ES"/>
        </w:rPr>
        <w:t>.</w:t>
      </w:r>
    </w:p>
    <w:p w:rsidR="00991E36" w:rsidRDefault="00991E36" w:rsidP="00E66B1C">
      <w:pPr>
        <w:jc w:val="both"/>
        <w:rPr>
          <w:b/>
          <w:lang w:val="es-ES"/>
        </w:rPr>
      </w:pPr>
      <w:r>
        <w:rPr>
          <w:b/>
          <w:lang w:val="es-ES"/>
        </w:rPr>
        <w:t>Proyecciones poblacionales:</w:t>
      </w:r>
    </w:p>
    <w:p w:rsidR="00991E36" w:rsidRDefault="00991E36" w:rsidP="00E66B1C">
      <w:pPr>
        <w:jc w:val="both"/>
        <w:rPr>
          <w:lang w:val="es-ES"/>
        </w:rPr>
      </w:pPr>
      <w:r>
        <w:rPr>
          <w:lang w:val="es-ES"/>
        </w:rPr>
        <w:t>Revisión 2022 – 2024. Se utilizarán las proyecciones poblacionales más actualizadas que estén disponibles.</w:t>
      </w:r>
    </w:p>
    <w:p w:rsidR="00991E36" w:rsidRDefault="00991E36" w:rsidP="00E66B1C">
      <w:pPr>
        <w:jc w:val="both"/>
        <w:rPr>
          <w:b/>
          <w:lang w:val="es-ES"/>
        </w:rPr>
      </w:pPr>
      <w:r>
        <w:rPr>
          <w:b/>
          <w:lang w:val="es-ES"/>
        </w:rPr>
        <w:t>Factores de expansión:</w:t>
      </w:r>
    </w:p>
    <w:p w:rsidR="00991E36" w:rsidRDefault="00991E36" w:rsidP="00E66B1C">
      <w:pPr>
        <w:jc w:val="both"/>
        <w:rPr>
          <w:lang w:val="es-ES"/>
        </w:rPr>
      </w:pPr>
      <w:r>
        <w:rPr>
          <w:lang w:val="es-ES"/>
        </w:rPr>
        <w:t xml:space="preserve">Factores de expansión calibrados a nivel de hogar integrado </w:t>
      </w:r>
      <w:r w:rsidR="008B06B4">
        <w:rPr>
          <w:lang w:val="es-ES"/>
        </w:rPr>
        <w:t xml:space="preserve">y normalizados. </w:t>
      </w:r>
      <w:r w:rsidR="008B06B4" w:rsidRPr="008B06B4">
        <w:rPr>
          <w:lang w:val="es-ES"/>
        </w:rPr>
        <w:t>Los factores de expansión por hogar integrado son los adecuados cuando se tiene dos poblaciones objetivo (hogar y personas).</w:t>
      </w:r>
      <w:r w:rsidR="008B06B4">
        <w:rPr>
          <w:lang w:val="es-ES"/>
        </w:rPr>
        <w:t xml:space="preserve"> </w:t>
      </w:r>
      <w:r w:rsidR="008B06B4" w:rsidRPr="008B06B4">
        <w:rPr>
          <w:lang w:val="es-ES"/>
        </w:rPr>
        <w:t>Los normalizados replican íntegramente</w:t>
      </w:r>
      <w:r w:rsidR="008B06B4">
        <w:rPr>
          <w:lang w:val="es-ES"/>
        </w:rPr>
        <w:t xml:space="preserve"> el diseño muestral, sin embargo, no se pueden obtener estimadores de tipo total por lo que se evaluará su potencial uso ya que implica un cambio en el manejo de datos.</w:t>
      </w:r>
    </w:p>
    <w:p w:rsidR="008B06B4" w:rsidRDefault="008B06B4" w:rsidP="00E66B1C">
      <w:pPr>
        <w:jc w:val="center"/>
        <w:rPr>
          <w:b/>
          <w:lang w:val="es-ES"/>
        </w:rPr>
      </w:pPr>
      <w:r>
        <w:rPr>
          <w:b/>
          <w:lang w:val="es-ES"/>
        </w:rPr>
        <w:lastRenderedPageBreak/>
        <w:t>ENCIET</w:t>
      </w:r>
    </w:p>
    <w:p w:rsidR="008B06B4" w:rsidRDefault="008B06B4" w:rsidP="00E66B1C">
      <w:pPr>
        <w:jc w:val="both"/>
        <w:rPr>
          <w:lang w:val="es-ES"/>
        </w:rPr>
      </w:pPr>
      <w:r>
        <w:rPr>
          <w:b/>
          <w:lang w:val="es-ES"/>
        </w:rPr>
        <w:t xml:space="preserve">Variable de diseño: </w:t>
      </w:r>
    </w:p>
    <w:p w:rsidR="00FD757F" w:rsidRDefault="008B06B4" w:rsidP="00E66B1C">
      <w:pPr>
        <w:jc w:val="both"/>
        <w:rPr>
          <w:lang w:val="es-ES"/>
        </w:rPr>
      </w:pPr>
      <w:r>
        <w:rPr>
          <w:lang w:val="es-ES"/>
        </w:rPr>
        <w:t>Gasto promedio del hogar. Mediante solicitud enviada a diseño muestral requiere que esta sea la variable de diseño, d</w:t>
      </w:r>
      <w:r w:rsidRPr="006C27E6">
        <w:rPr>
          <w:lang w:val="es-ES"/>
        </w:rPr>
        <w:t>e</w:t>
      </w:r>
      <w:r>
        <w:rPr>
          <w:lang w:val="es-ES"/>
        </w:rPr>
        <w:t xml:space="preserve"> </w:t>
      </w:r>
      <w:r w:rsidRPr="006C27E6">
        <w:rPr>
          <w:lang w:val="es-ES"/>
        </w:rPr>
        <w:t>acuerdo</w:t>
      </w:r>
      <w:r>
        <w:rPr>
          <w:lang w:val="es-ES"/>
        </w:rPr>
        <w:t xml:space="preserve"> </w:t>
      </w:r>
      <w:r w:rsidRPr="006C27E6">
        <w:rPr>
          <w:lang w:val="es-ES"/>
        </w:rPr>
        <w:t>a</w:t>
      </w:r>
      <w:r>
        <w:rPr>
          <w:lang w:val="es-ES"/>
        </w:rPr>
        <w:t xml:space="preserve"> </w:t>
      </w:r>
      <w:r w:rsidRPr="006C27E6">
        <w:rPr>
          <w:lang w:val="es-ES"/>
        </w:rPr>
        <w:t>lo</w:t>
      </w:r>
      <w:r>
        <w:rPr>
          <w:lang w:val="es-ES"/>
        </w:rPr>
        <w:t xml:space="preserve"> </w:t>
      </w:r>
      <w:r w:rsidRPr="006C27E6">
        <w:rPr>
          <w:lang w:val="es-ES"/>
        </w:rPr>
        <w:t>establecido</w:t>
      </w:r>
      <w:r>
        <w:rPr>
          <w:lang w:val="es-ES"/>
        </w:rPr>
        <w:t xml:space="preserve"> </w:t>
      </w:r>
      <w:r w:rsidRPr="006C27E6">
        <w:rPr>
          <w:lang w:val="es-ES"/>
        </w:rPr>
        <w:t>en</w:t>
      </w:r>
      <w:r>
        <w:rPr>
          <w:lang w:val="es-ES"/>
        </w:rPr>
        <w:t xml:space="preserve"> </w:t>
      </w:r>
      <w:r w:rsidRPr="006C27E6">
        <w:rPr>
          <w:lang w:val="es-ES"/>
        </w:rPr>
        <w:t>el</w:t>
      </w:r>
      <w:r>
        <w:rPr>
          <w:lang w:val="es-ES"/>
        </w:rPr>
        <w:t xml:space="preserve"> </w:t>
      </w:r>
      <w:r w:rsidRPr="006C27E6">
        <w:rPr>
          <w:lang w:val="es-ES"/>
        </w:rPr>
        <w:t>2011</w:t>
      </w:r>
      <w:r>
        <w:rPr>
          <w:lang w:val="es-ES"/>
        </w:rPr>
        <w:t xml:space="preserve"> </w:t>
      </w:r>
      <w:r w:rsidRPr="006C27E6">
        <w:rPr>
          <w:lang w:val="es-ES"/>
        </w:rPr>
        <w:t>para</w:t>
      </w:r>
      <w:r>
        <w:rPr>
          <w:lang w:val="es-ES"/>
        </w:rPr>
        <w:t xml:space="preserve"> </w:t>
      </w:r>
      <w:r w:rsidRPr="006C27E6">
        <w:rPr>
          <w:lang w:val="es-ES"/>
        </w:rPr>
        <w:t>calcular</w:t>
      </w:r>
      <w:r>
        <w:rPr>
          <w:lang w:val="es-ES"/>
        </w:rPr>
        <w:t xml:space="preserve"> </w:t>
      </w:r>
      <w:r w:rsidRPr="006C27E6">
        <w:rPr>
          <w:lang w:val="es-ES"/>
        </w:rPr>
        <w:t>los</w:t>
      </w:r>
      <w:r>
        <w:rPr>
          <w:lang w:val="es-ES"/>
        </w:rPr>
        <w:t xml:space="preserve"> </w:t>
      </w:r>
      <w:r w:rsidRPr="006C27E6">
        <w:rPr>
          <w:lang w:val="es-ES"/>
        </w:rPr>
        <w:t>tamaños</w:t>
      </w:r>
      <w:r>
        <w:rPr>
          <w:lang w:val="es-ES"/>
        </w:rPr>
        <w:t xml:space="preserve"> </w:t>
      </w:r>
      <w:r w:rsidRPr="006C27E6">
        <w:rPr>
          <w:lang w:val="es-ES"/>
        </w:rPr>
        <w:t>de</w:t>
      </w:r>
      <w:r>
        <w:rPr>
          <w:lang w:val="es-ES"/>
        </w:rPr>
        <w:t xml:space="preserve"> </w:t>
      </w:r>
      <w:r w:rsidRPr="006C27E6">
        <w:rPr>
          <w:lang w:val="es-ES"/>
        </w:rPr>
        <w:t>muestra</w:t>
      </w:r>
      <w:r>
        <w:rPr>
          <w:lang w:val="es-ES"/>
        </w:rPr>
        <w:t xml:space="preserve"> </w:t>
      </w:r>
      <w:r w:rsidRPr="006C27E6">
        <w:rPr>
          <w:lang w:val="es-ES"/>
        </w:rPr>
        <w:t>de</w:t>
      </w:r>
      <w:r>
        <w:rPr>
          <w:lang w:val="es-ES"/>
        </w:rPr>
        <w:t xml:space="preserve"> </w:t>
      </w:r>
      <w:r w:rsidRPr="006C27E6">
        <w:rPr>
          <w:lang w:val="es-ES"/>
        </w:rPr>
        <w:t>la</w:t>
      </w:r>
      <w:r>
        <w:rPr>
          <w:lang w:val="es-ES"/>
        </w:rPr>
        <w:t xml:space="preserve"> </w:t>
      </w:r>
      <w:r w:rsidRPr="006C27E6">
        <w:rPr>
          <w:lang w:val="es-ES"/>
        </w:rPr>
        <w:t>ENIGHUR,</w:t>
      </w:r>
      <w:r>
        <w:rPr>
          <w:lang w:val="es-ES"/>
        </w:rPr>
        <w:t xml:space="preserve"> </w:t>
      </w:r>
      <w:r w:rsidRPr="006C27E6">
        <w:rPr>
          <w:lang w:val="es-ES"/>
        </w:rPr>
        <w:t>se</w:t>
      </w:r>
      <w:r>
        <w:rPr>
          <w:lang w:val="es-ES"/>
        </w:rPr>
        <w:t xml:space="preserve"> </w:t>
      </w:r>
      <w:r w:rsidRPr="006C27E6">
        <w:rPr>
          <w:lang w:val="es-ES"/>
        </w:rPr>
        <w:t>definió</w:t>
      </w:r>
      <w:r>
        <w:rPr>
          <w:lang w:val="es-ES"/>
        </w:rPr>
        <w:t xml:space="preserve"> </w:t>
      </w:r>
      <w:r w:rsidRPr="006C27E6">
        <w:rPr>
          <w:lang w:val="es-ES"/>
        </w:rPr>
        <w:t>como</w:t>
      </w:r>
      <w:r>
        <w:rPr>
          <w:lang w:val="es-ES"/>
        </w:rPr>
        <w:t xml:space="preserve"> </w:t>
      </w:r>
      <w:r w:rsidRPr="006C27E6">
        <w:rPr>
          <w:lang w:val="es-ES"/>
        </w:rPr>
        <w:t>variable</w:t>
      </w:r>
      <w:r>
        <w:rPr>
          <w:lang w:val="es-ES"/>
        </w:rPr>
        <w:t xml:space="preserve"> </w:t>
      </w:r>
      <w:r w:rsidRPr="006C27E6">
        <w:rPr>
          <w:lang w:val="es-ES"/>
        </w:rPr>
        <w:t>de</w:t>
      </w:r>
      <w:r>
        <w:rPr>
          <w:lang w:val="es-ES"/>
        </w:rPr>
        <w:t xml:space="preserve"> </w:t>
      </w:r>
      <w:r w:rsidRPr="006C27E6">
        <w:rPr>
          <w:lang w:val="es-ES"/>
        </w:rPr>
        <w:t>diseño,</w:t>
      </w:r>
      <w:r>
        <w:rPr>
          <w:lang w:val="es-ES"/>
        </w:rPr>
        <w:t xml:space="preserve"> </w:t>
      </w:r>
      <w:r w:rsidRPr="006C27E6">
        <w:rPr>
          <w:lang w:val="es-ES"/>
        </w:rPr>
        <w:t>el</w:t>
      </w:r>
      <w:r>
        <w:rPr>
          <w:lang w:val="es-ES"/>
        </w:rPr>
        <w:t xml:space="preserve"> </w:t>
      </w:r>
      <w:r w:rsidRPr="006C27E6">
        <w:rPr>
          <w:lang w:val="es-ES"/>
        </w:rPr>
        <w:t>gasto</w:t>
      </w:r>
      <w:r>
        <w:rPr>
          <w:lang w:val="es-ES"/>
        </w:rPr>
        <w:t xml:space="preserve"> </w:t>
      </w:r>
      <w:r w:rsidRPr="006C27E6">
        <w:rPr>
          <w:lang w:val="es-ES"/>
        </w:rPr>
        <w:t>promedio</w:t>
      </w:r>
      <w:r>
        <w:rPr>
          <w:lang w:val="es-ES"/>
        </w:rPr>
        <w:t xml:space="preserve"> </w:t>
      </w:r>
      <w:r w:rsidRPr="006C27E6">
        <w:rPr>
          <w:lang w:val="es-ES"/>
        </w:rPr>
        <w:t>del</w:t>
      </w:r>
      <w:r>
        <w:rPr>
          <w:lang w:val="es-ES"/>
        </w:rPr>
        <w:t xml:space="preserve"> </w:t>
      </w:r>
      <w:r w:rsidRPr="006C27E6">
        <w:rPr>
          <w:lang w:val="es-ES"/>
        </w:rPr>
        <w:t>hogar</w:t>
      </w:r>
      <w:r>
        <w:rPr>
          <w:lang w:val="es-ES"/>
        </w:rPr>
        <w:t xml:space="preserve"> </w:t>
      </w:r>
      <w:r w:rsidRPr="006C27E6">
        <w:rPr>
          <w:lang w:val="es-ES"/>
        </w:rPr>
        <w:t>para</w:t>
      </w:r>
      <w:r>
        <w:rPr>
          <w:lang w:val="es-ES"/>
        </w:rPr>
        <w:t xml:space="preserve"> </w:t>
      </w:r>
      <w:r w:rsidRPr="006C27E6">
        <w:rPr>
          <w:lang w:val="es-ES"/>
        </w:rPr>
        <w:t>cada</w:t>
      </w:r>
      <w:r>
        <w:rPr>
          <w:lang w:val="es-ES"/>
        </w:rPr>
        <w:t xml:space="preserve"> </w:t>
      </w:r>
      <w:r w:rsidRPr="006C27E6">
        <w:rPr>
          <w:lang w:val="es-ES"/>
        </w:rPr>
        <w:t>uno</w:t>
      </w:r>
      <w:r>
        <w:rPr>
          <w:lang w:val="es-ES"/>
        </w:rPr>
        <w:t xml:space="preserve"> </w:t>
      </w:r>
      <w:r w:rsidRPr="006C27E6">
        <w:rPr>
          <w:lang w:val="es-ES"/>
        </w:rPr>
        <w:t>de</w:t>
      </w:r>
      <w:r>
        <w:rPr>
          <w:lang w:val="es-ES"/>
        </w:rPr>
        <w:t xml:space="preserve"> </w:t>
      </w:r>
      <w:r w:rsidRPr="006C27E6">
        <w:rPr>
          <w:lang w:val="es-ES"/>
        </w:rPr>
        <w:t>los</w:t>
      </w:r>
      <w:r>
        <w:rPr>
          <w:lang w:val="es-ES"/>
        </w:rPr>
        <w:t xml:space="preserve"> </w:t>
      </w:r>
      <w:r w:rsidRPr="006C27E6">
        <w:rPr>
          <w:lang w:val="es-ES"/>
        </w:rPr>
        <w:t>12</w:t>
      </w:r>
      <w:r>
        <w:rPr>
          <w:lang w:val="es-ES"/>
        </w:rPr>
        <w:t xml:space="preserve"> </w:t>
      </w:r>
      <w:r w:rsidRPr="006C27E6">
        <w:rPr>
          <w:lang w:val="es-ES"/>
        </w:rPr>
        <w:t>rubros</w:t>
      </w:r>
      <w:r>
        <w:rPr>
          <w:lang w:val="es-ES"/>
        </w:rPr>
        <w:t xml:space="preserve"> </w:t>
      </w:r>
      <w:r w:rsidRPr="006C27E6">
        <w:rPr>
          <w:lang w:val="es-ES"/>
        </w:rPr>
        <w:t>de</w:t>
      </w:r>
      <w:r>
        <w:rPr>
          <w:lang w:val="es-ES"/>
        </w:rPr>
        <w:t xml:space="preserve"> </w:t>
      </w:r>
      <w:r w:rsidRPr="006C27E6">
        <w:rPr>
          <w:lang w:val="es-ES"/>
        </w:rPr>
        <w:t>gastos</w:t>
      </w:r>
      <w:r>
        <w:rPr>
          <w:lang w:val="es-ES"/>
        </w:rPr>
        <w:t xml:space="preserve"> </w:t>
      </w:r>
      <w:r w:rsidRPr="006C27E6">
        <w:rPr>
          <w:lang w:val="es-ES"/>
        </w:rPr>
        <w:t>considerado</w:t>
      </w:r>
      <w:r>
        <w:rPr>
          <w:lang w:val="es-ES"/>
        </w:rPr>
        <w:t xml:space="preserve"> </w:t>
      </w:r>
      <w:r w:rsidRPr="006C27E6">
        <w:rPr>
          <w:lang w:val="es-ES"/>
        </w:rPr>
        <w:t>en</w:t>
      </w:r>
      <w:r>
        <w:rPr>
          <w:lang w:val="es-ES"/>
        </w:rPr>
        <w:t xml:space="preserve"> </w:t>
      </w:r>
      <w:r w:rsidRPr="006C27E6">
        <w:rPr>
          <w:lang w:val="es-ES"/>
        </w:rPr>
        <w:t>el</w:t>
      </w:r>
      <w:r>
        <w:rPr>
          <w:lang w:val="es-ES"/>
        </w:rPr>
        <w:t xml:space="preserve"> IPC</w:t>
      </w:r>
      <w:r w:rsidRPr="006C27E6">
        <w:rPr>
          <w:lang w:val="es-ES"/>
        </w:rPr>
        <w:t>.</w:t>
      </w:r>
    </w:p>
    <w:p w:rsidR="008B06B4" w:rsidRDefault="008B06B4" w:rsidP="00E66B1C">
      <w:pPr>
        <w:jc w:val="both"/>
        <w:rPr>
          <w:b/>
          <w:lang w:val="es-ES"/>
        </w:rPr>
      </w:pPr>
      <w:r>
        <w:rPr>
          <w:b/>
          <w:lang w:val="es-ES"/>
        </w:rPr>
        <w:t>Dominios de estudio:</w:t>
      </w:r>
    </w:p>
    <w:p w:rsidR="009F73F8" w:rsidRPr="009F73F8" w:rsidRDefault="00645F97" w:rsidP="00E66B1C">
      <w:pPr>
        <w:jc w:val="both"/>
        <w:rPr>
          <w:lang w:val="es-ES"/>
        </w:rPr>
      </w:pPr>
      <w:r>
        <w:rPr>
          <w:lang w:val="es-ES"/>
        </w:rPr>
        <w:t>Mensual</w:t>
      </w:r>
      <w:r w:rsidR="009F73F8" w:rsidRPr="009F73F8">
        <w:rPr>
          <w:lang w:val="es-ES"/>
        </w:rPr>
        <w:t>: Nacional, urbano y rural.</w:t>
      </w:r>
    </w:p>
    <w:p w:rsidR="009F73F8" w:rsidRPr="009F73F8" w:rsidRDefault="009F73F8" w:rsidP="00E66B1C">
      <w:pPr>
        <w:jc w:val="both"/>
        <w:rPr>
          <w:lang w:val="es-ES"/>
        </w:rPr>
      </w:pPr>
      <w:r>
        <w:rPr>
          <w:lang w:val="es-ES"/>
        </w:rPr>
        <w:t>Semestr</w:t>
      </w:r>
      <w:r w:rsidR="00645F97">
        <w:rPr>
          <w:lang w:val="es-ES"/>
        </w:rPr>
        <w:t>al</w:t>
      </w:r>
      <w:bookmarkStart w:id="0" w:name="_GoBack"/>
      <w:bookmarkEnd w:id="0"/>
      <w:r>
        <w:rPr>
          <w:lang w:val="es-ES"/>
        </w:rPr>
        <w:t xml:space="preserve">: </w:t>
      </w:r>
      <w:r w:rsidRPr="009F73F8">
        <w:rPr>
          <w:lang w:val="es-ES"/>
        </w:rPr>
        <w:t xml:space="preserve">Nacional, urbano, rural y </w:t>
      </w:r>
      <w:r w:rsidR="005176A7">
        <w:rPr>
          <w:lang w:val="es-ES"/>
        </w:rPr>
        <w:t>6</w:t>
      </w:r>
      <w:r w:rsidRPr="005176A7">
        <w:rPr>
          <w:lang w:val="es-ES"/>
        </w:rPr>
        <w:t xml:space="preserve"> cantones</w:t>
      </w:r>
      <w:r w:rsidR="005176A7">
        <w:rPr>
          <w:lang w:val="es-ES"/>
        </w:rPr>
        <w:t xml:space="preserve"> (</w:t>
      </w:r>
      <w:r w:rsidR="00603A7B">
        <w:rPr>
          <w:lang w:val="es-ES"/>
        </w:rPr>
        <w:t>Cuenca, Riobamba, Loja, Quito, Ambato y Santo Domingo</w:t>
      </w:r>
      <w:r w:rsidR="005176A7">
        <w:rPr>
          <w:lang w:val="es-ES"/>
        </w:rPr>
        <w:t>)</w:t>
      </w:r>
      <w:r w:rsidR="00603A7B">
        <w:rPr>
          <w:lang w:val="es-ES"/>
        </w:rPr>
        <w:t xml:space="preserve"> y 4 cantones urbanos (Machala, Esmeraldas, Guayaquil y Manta)</w:t>
      </w:r>
      <w:r w:rsidRPr="005176A7">
        <w:rPr>
          <w:lang w:val="es-ES"/>
        </w:rPr>
        <w:t>.</w:t>
      </w:r>
    </w:p>
    <w:p w:rsidR="009F73F8" w:rsidRDefault="009F73F8" w:rsidP="00E66B1C">
      <w:pPr>
        <w:jc w:val="both"/>
        <w:rPr>
          <w:lang w:val="es-ES"/>
        </w:rPr>
      </w:pPr>
      <w:r w:rsidRPr="009F73F8">
        <w:rPr>
          <w:lang w:val="es-ES"/>
        </w:rPr>
        <w:t>Anual:</w:t>
      </w:r>
      <w:r>
        <w:rPr>
          <w:lang w:val="es-ES"/>
        </w:rPr>
        <w:t xml:space="preserve"> </w:t>
      </w:r>
      <w:r w:rsidRPr="009F73F8">
        <w:rPr>
          <w:lang w:val="es-ES"/>
        </w:rPr>
        <w:t xml:space="preserve">Nacional, urbano, rural, provincial </w:t>
      </w:r>
      <w:r w:rsidR="00603A7B" w:rsidRPr="009F73F8">
        <w:rPr>
          <w:lang w:val="es-ES"/>
        </w:rPr>
        <w:t xml:space="preserve">y </w:t>
      </w:r>
      <w:r w:rsidR="00603A7B">
        <w:rPr>
          <w:lang w:val="es-ES"/>
        </w:rPr>
        <w:t>6</w:t>
      </w:r>
      <w:r w:rsidR="00603A7B" w:rsidRPr="005176A7">
        <w:rPr>
          <w:lang w:val="es-ES"/>
        </w:rPr>
        <w:t xml:space="preserve"> cantones</w:t>
      </w:r>
      <w:r w:rsidR="00603A7B">
        <w:rPr>
          <w:lang w:val="es-ES"/>
        </w:rPr>
        <w:t xml:space="preserve"> (Cuenca, Riobamba, Loja, Quito, Ambato y Santo Domingo) y 4 cantones urbanos (Machala, Esmeraldas, Guayaquil y Manta</w:t>
      </w:r>
      <w:r w:rsidRPr="005176A7">
        <w:rPr>
          <w:lang w:val="es-ES"/>
        </w:rPr>
        <w:t>.</w:t>
      </w:r>
    </w:p>
    <w:p w:rsidR="008B06B4" w:rsidRDefault="008B06B4" w:rsidP="00E66B1C">
      <w:pPr>
        <w:jc w:val="both"/>
        <w:rPr>
          <w:b/>
          <w:lang w:val="es-ES"/>
        </w:rPr>
      </w:pPr>
      <w:r>
        <w:rPr>
          <w:b/>
          <w:lang w:val="es-ES"/>
        </w:rPr>
        <w:t>Tamaño muestral:</w:t>
      </w:r>
    </w:p>
    <w:p w:rsidR="009F73F8" w:rsidRDefault="009F73F8" w:rsidP="00E66B1C">
      <w:pPr>
        <w:jc w:val="both"/>
        <w:rPr>
          <w:lang w:val="es-ES"/>
        </w:rPr>
      </w:pPr>
      <w:r>
        <w:rPr>
          <w:lang w:val="es-ES"/>
        </w:rPr>
        <w:t>1.288</w:t>
      </w:r>
      <w:r w:rsidR="008B06B4">
        <w:rPr>
          <w:lang w:val="es-ES"/>
        </w:rPr>
        <w:t xml:space="preserve"> UPM – </w:t>
      </w:r>
      <w:r>
        <w:rPr>
          <w:lang w:val="es-ES"/>
        </w:rPr>
        <w:t xml:space="preserve">10.304 </w:t>
      </w:r>
      <w:r w:rsidR="008B06B4">
        <w:rPr>
          <w:lang w:val="es-ES"/>
        </w:rPr>
        <w:t xml:space="preserve">viviendas. </w:t>
      </w:r>
      <w:r w:rsidR="008B06B4" w:rsidRPr="00991E36">
        <w:rPr>
          <w:lang w:val="es-ES"/>
        </w:rPr>
        <w:t xml:space="preserve">Está asociado a los dominios de estudio y la variable de diseño, </w:t>
      </w:r>
      <w:r>
        <w:rPr>
          <w:lang w:val="es-ES"/>
        </w:rPr>
        <w:t xml:space="preserve">contará con una tasa de no respuesta. </w:t>
      </w:r>
      <w:r w:rsidRPr="009F73F8">
        <w:rPr>
          <w:lang w:val="es-ES"/>
        </w:rPr>
        <w:t>El tamaño está fijado por restricciones presupuestarias asociadas al número de viviendas efectivas esperado</w:t>
      </w:r>
      <w:r>
        <w:rPr>
          <w:lang w:val="es-ES"/>
        </w:rPr>
        <w:t>.</w:t>
      </w:r>
    </w:p>
    <w:p w:rsidR="008B06B4" w:rsidRDefault="008B06B4" w:rsidP="00E66B1C">
      <w:pPr>
        <w:jc w:val="both"/>
        <w:rPr>
          <w:b/>
          <w:lang w:val="es-ES"/>
        </w:rPr>
      </w:pPr>
      <w:r>
        <w:rPr>
          <w:b/>
          <w:lang w:val="es-ES"/>
        </w:rPr>
        <w:t>Coordinación de muestras:</w:t>
      </w:r>
    </w:p>
    <w:p w:rsidR="009F73F8" w:rsidRDefault="009F73F8" w:rsidP="00E66B1C">
      <w:pPr>
        <w:jc w:val="both"/>
        <w:rPr>
          <w:lang w:val="es-ES"/>
        </w:rPr>
      </w:pPr>
      <w:r w:rsidRPr="009F73F8">
        <w:rPr>
          <w:lang w:val="es-ES"/>
        </w:rPr>
        <w:t>La actualización cartográfica de las encuestas será introducida paulatinamente en la ENEMDU en función de la rotación de los paneles</w:t>
      </w:r>
      <w:r>
        <w:rPr>
          <w:lang w:val="es-ES"/>
        </w:rPr>
        <w:t>.</w:t>
      </w:r>
    </w:p>
    <w:p w:rsidR="008B06B4" w:rsidRDefault="008B06B4" w:rsidP="00E66B1C">
      <w:pPr>
        <w:jc w:val="both"/>
        <w:rPr>
          <w:b/>
          <w:lang w:val="es-ES"/>
        </w:rPr>
      </w:pPr>
      <w:r>
        <w:rPr>
          <w:b/>
          <w:lang w:val="es-ES"/>
        </w:rPr>
        <w:t>Reemplazos de viviendas:</w:t>
      </w:r>
    </w:p>
    <w:p w:rsidR="008B06B4" w:rsidRDefault="008B06B4" w:rsidP="00E66B1C">
      <w:pPr>
        <w:jc w:val="both"/>
        <w:rPr>
          <w:lang w:val="es-ES"/>
        </w:rPr>
      </w:pPr>
      <w:r>
        <w:rPr>
          <w:lang w:val="es-ES"/>
        </w:rPr>
        <w:t xml:space="preserve">Se acordó no utilizar reemplazos aumentando una vivienda por UPM (en comparación a la ENEMDU actual) que debe ser investigada siempre, se explicó que el </w:t>
      </w:r>
      <w:r w:rsidRPr="00991E36">
        <w:rPr>
          <w:lang w:val="es-ES"/>
        </w:rPr>
        <w:t xml:space="preserve">cálculo del tamaño muestral incluye un </w:t>
      </w:r>
      <w:proofErr w:type="spellStart"/>
      <w:r w:rsidRPr="00991E36">
        <w:rPr>
          <w:lang w:val="es-ES"/>
        </w:rPr>
        <w:t>sobremuestreo</w:t>
      </w:r>
      <w:proofErr w:type="spellEnd"/>
      <w:r w:rsidRPr="00991E36">
        <w:rPr>
          <w:lang w:val="es-ES"/>
        </w:rPr>
        <w:t xml:space="preserve"> por una tasa de no respuesta esperada</w:t>
      </w:r>
      <w:r>
        <w:rPr>
          <w:lang w:val="es-ES"/>
        </w:rPr>
        <w:t>. Se realizó un análisis de la cobertura mensual de la ENEMDU que se detalla a continuación:</w:t>
      </w:r>
    </w:p>
    <w:p w:rsidR="008B06B4" w:rsidRDefault="008B06B4" w:rsidP="00E66B1C">
      <w:pPr>
        <w:jc w:val="both"/>
        <w:rPr>
          <w:lang w:val="es-ES"/>
        </w:rPr>
      </w:pPr>
    </w:p>
    <w:p w:rsidR="008B06B4" w:rsidRDefault="008B06B4" w:rsidP="00E66B1C">
      <w:pPr>
        <w:jc w:val="both"/>
        <w:rPr>
          <w:b/>
          <w:lang w:val="es-ES"/>
        </w:rPr>
      </w:pPr>
      <w:r>
        <w:rPr>
          <w:b/>
          <w:lang w:val="es-ES"/>
        </w:rPr>
        <w:t>Proyecciones poblacionales:</w:t>
      </w:r>
    </w:p>
    <w:p w:rsidR="008B06B4" w:rsidRDefault="008B06B4" w:rsidP="00E66B1C">
      <w:pPr>
        <w:jc w:val="both"/>
        <w:rPr>
          <w:lang w:val="es-ES"/>
        </w:rPr>
      </w:pPr>
      <w:r>
        <w:rPr>
          <w:lang w:val="es-ES"/>
        </w:rPr>
        <w:t>Revisión 2022 – 2024. Se utilizarán las proyecciones poblacionales más actualizadas que estén disponibles.</w:t>
      </w:r>
    </w:p>
    <w:p w:rsidR="008B06B4" w:rsidRDefault="008B06B4" w:rsidP="00E66B1C">
      <w:pPr>
        <w:jc w:val="both"/>
        <w:rPr>
          <w:b/>
          <w:lang w:val="es-ES"/>
        </w:rPr>
      </w:pPr>
      <w:r>
        <w:rPr>
          <w:b/>
          <w:lang w:val="es-ES"/>
        </w:rPr>
        <w:t>Factores de expansión:</w:t>
      </w:r>
    </w:p>
    <w:p w:rsidR="008B06B4" w:rsidRPr="00991E36" w:rsidRDefault="008B06B4" w:rsidP="00E66B1C">
      <w:pPr>
        <w:jc w:val="both"/>
        <w:rPr>
          <w:lang w:val="es-ES"/>
        </w:rPr>
      </w:pPr>
      <w:r>
        <w:rPr>
          <w:lang w:val="es-ES"/>
        </w:rPr>
        <w:t xml:space="preserve">Factores de expansión calibrados a nivel de hogar integrado y normalizados. </w:t>
      </w:r>
      <w:r w:rsidRPr="008B06B4">
        <w:rPr>
          <w:lang w:val="es-ES"/>
        </w:rPr>
        <w:t>Los factores de expansión por hogar integrado son los adecuados cuando se tiene dos poblaciones objetivo (hogar y personas).</w:t>
      </w:r>
      <w:r>
        <w:rPr>
          <w:lang w:val="es-ES"/>
        </w:rPr>
        <w:t xml:space="preserve"> </w:t>
      </w:r>
      <w:r w:rsidRPr="008B06B4">
        <w:rPr>
          <w:lang w:val="es-ES"/>
        </w:rPr>
        <w:t>Los normalizados replican íntegramente</w:t>
      </w:r>
      <w:r>
        <w:rPr>
          <w:lang w:val="es-ES"/>
        </w:rPr>
        <w:t xml:space="preserve"> el diseño muestral, sin embargo, no se pueden obtener estimadores de tipo total por lo que se evaluará su potencial uso ya que implica un cambio en el manejo de datos.</w:t>
      </w:r>
    </w:p>
    <w:p w:rsidR="008B06B4" w:rsidRPr="00991E36" w:rsidRDefault="008B06B4" w:rsidP="00E66B1C">
      <w:pPr>
        <w:jc w:val="both"/>
        <w:rPr>
          <w:lang w:val="es-ES"/>
        </w:rPr>
      </w:pPr>
    </w:p>
    <w:p w:rsidR="00E66B1C" w:rsidRPr="00991E36" w:rsidRDefault="00E66B1C">
      <w:pPr>
        <w:jc w:val="both"/>
        <w:rPr>
          <w:lang w:val="es-ES"/>
        </w:rPr>
      </w:pPr>
    </w:p>
    <w:sectPr w:rsidR="00E66B1C" w:rsidRPr="00991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35"/>
    <w:rsid w:val="0002517D"/>
    <w:rsid w:val="0013567E"/>
    <w:rsid w:val="00397F28"/>
    <w:rsid w:val="004141BD"/>
    <w:rsid w:val="004E3495"/>
    <w:rsid w:val="004F5A70"/>
    <w:rsid w:val="005176A7"/>
    <w:rsid w:val="00603A7B"/>
    <w:rsid w:val="00645F97"/>
    <w:rsid w:val="006A1BB8"/>
    <w:rsid w:val="006C27E6"/>
    <w:rsid w:val="00722335"/>
    <w:rsid w:val="008B06B4"/>
    <w:rsid w:val="00991E36"/>
    <w:rsid w:val="009F73F8"/>
    <w:rsid w:val="00A5158D"/>
    <w:rsid w:val="00AB3E7D"/>
    <w:rsid w:val="00B84A3A"/>
    <w:rsid w:val="00E52617"/>
    <w:rsid w:val="00E66B1C"/>
    <w:rsid w:val="00F97FD4"/>
    <w:rsid w:val="00FD75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9E5D0-248A-4207-AFFC-13EEE3BC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4141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722">
      <w:bodyDiv w:val="1"/>
      <w:marLeft w:val="0"/>
      <w:marRight w:val="0"/>
      <w:marTop w:val="0"/>
      <w:marBottom w:val="0"/>
      <w:divBdr>
        <w:top w:val="none" w:sz="0" w:space="0" w:color="auto"/>
        <w:left w:val="none" w:sz="0" w:space="0" w:color="auto"/>
        <w:bottom w:val="none" w:sz="0" w:space="0" w:color="auto"/>
        <w:right w:val="none" w:sz="0" w:space="0" w:color="auto"/>
      </w:divBdr>
    </w:div>
    <w:div w:id="19949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3</Pages>
  <Words>1143</Words>
  <Characters>6288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Angel Gaibor</dc:creator>
  <cp:keywords/>
  <dc:description/>
  <cp:lastModifiedBy>INEC Angel Gaibor</cp:lastModifiedBy>
  <cp:revision>5</cp:revision>
  <dcterms:created xsi:type="dcterms:W3CDTF">2024-05-13T20:08:00Z</dcterms:created>
  <dcterms:modified xsi:type="dcterms:W3CDTF">2024-05-15T14:13:00Z</dcterms:modified>
</cp:coreProperties>
</file>