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DD" w:rsidRPr="001200DD" w:rsidRDefault="001200DD" w:rsidP="00120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00DD">
        <w:rPr>
          <w:rStyle w:val="Textoennegrita"/>
          <w:rFonts w:ascii="Times New Roman" w:hAnsi="Times New Roman" w:cs="Times New Roman"/>
        </w:rPr>
        <w:t>INTRODUCCIÓN</w:t>
      </w:r>
    </w:p>
    <w:p w:rsid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00DD">
        <w:rPr>
          <w:rFonts w:ascii="Times New Roman" w:hAnsi="Times New Roman" w:cs="Times New Roman"/>
        </w:rPr>
        <w:t xml:space="preserve">Actualmente los </w:t>
      </w:r>
      <w:proofErr w:type="spellStart"/>
      <w:r w:rsidRPr="001200DD">
        <w:rPr>
          <w:rFonts w:ascii="Times New Roman" w:hAnsi="Times New Roman" w:cs="Times New Roman"/>
        </w:rPr>
        <w:t>drones</w:t>
      </w:r>
      <w:proofErr w:type="spellEnd"/>
      <w:r w:rsidRPr="001200DD">
        <w:rPr>
          <w:rFonts w:ascii="Times New Roman" w:hAnsi="Times New Roman" w:cs="Times New Roman"/>
        </w:rPr>
        <w:t xml:space="preserve"> se han convertido en una promesa real para transportar productos médicos, aportando numerosos beneficios a la hora de ofrecer apoyo en distintas circunstancias que lo requieran.</w:t>
      </w:r>
    </w:p>
    <w:p w:rsidR="00190797" w:rsidRDefault="00190797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0797" w:rsidRPr="001200DD" w:rsidRDefault="00190797" w:rsidP="00190797">
      <w:pPr>
        <w:pStyle w:val="Default"/>
        <w:jc w:val="both"/>
        <w:rPr>
          <w:sz w:val="22"/>
          <w:szCs w:val="22"/>
          <w:lang w:val="es-ES"/>
        </w:rPr>
      </w:pPr>
      <w:r w:rsidRPr="001200DD">
        <w:rPr>
          <w:sz w:val="22"/>
          <w:szCs w:val="22"/>
          <w:lang w:val="es-ES"/>
        </w:rPr>
        <w:t>Un vehículo aéreo no tripulado, es conocido por sus siglas en inglés UAV (</w:t>
      </w:r>
      <w:proofErr w:type="spellStart"/>
      <w:r w:rsidRPr="001200DD">
        <w:rPr>
          <w:sz w:val="22"/>
          <w:szCs w:val="22"/>
          <w:lang w:val="es-ES"/>
        </w:rPr>
        <w:t>Unmanned</w:t>
      </w:r>
      <w:proofErr w:type="spellEnd"/>
      <w:r w:rsidRPr="001200DD">
        <w:rPr>
          <w:sz w:val="22"/>
          <w:szCs w:val="22"/>
          <w:lang w:val="es-ES"/>
        </w:rPr>
        <w:t xml:space="preserve"> </w:t>
      </w:r>
      <w:proofErr w:type="spellStart"/>
      <w:r w:rsidRPr="001200DD">
        <w:rPr>
          <w:sz w:val="22"/>
          <w:szCs w:val="22"/>
          <w:lang w:val="es-ES"/>
        </w:rPr>
        <w:t>Aerial</w:t>
      </w:r>
      <w:proofErr w:type="spellEnd"/>
      <w:r w:rsidRPr="001200DD">
        <w:rPr>
          <w:sz w:val="22"/>
          <w:szCs w:val="22"/>
          <w:lang w:val="es-ES"/>
        </w:rPr>
        <w:t xml:space="preserve"> </w:t>
      </w:r>
      <w:proofErr w:type="spellStart"/>
      <w:r w:rsidRPr="001200DD">
        <w:rPr>
          <w:sz w:val="22"/>
          <w:szCs w:val="22"/>
          <w:lang w:val="es-ES"/>
        </w:rPr>
        <w:t>Vehicle</w:t>
      </w:r>
      <w:proofErr w:type="spellEnd"/>
      <w:r w:rsidRPr="001200DD">
        <w:rPr>
          <w:sz w:val="22"/>
          <w:szCs w:val="22"/>
          <w:lang w:val="es-ES"/>
        </w:rPr>
        <w:t>) o UAS (</w:t>
      </w:r>
      <w:proofErr w:type="spellStart"/>
      <w:r w:rsidRPr="001200DD">
        <w:rPr>
          <w:sz w:val="22"/>
          <w:szCs w:val="22"/>
          <w:lang w:val="es-ES"/>
        </w:rPr>
        <w:t>Unmanned</w:t>
      </w:r>
      <w:proofErr w:type="spellEnd"/>
      <w:r w:rsidRPr="001200DD">
        <w:rPr>
          <w:sz w:val="22"/>
          <w:szCs w:val="22"/>
          <w:lang w:val="es-ES"/>
        </w:rPr>
        <w:t xml:space="preserve"> </w:t>
      </w:r>
      <w:proofErr w:type="spellStart"/>
      <w:r w:rsidRPr="001200DD">
        <w:rPr>
          <w:sz w:val="22"/>
          <w:szCs w:val="22"/>
          <w:lang w:val="es-ES"/>
        </w:rPr>
        <w:t>Aircraft</w:t>
      </w:r>
      <w:proofErr w:type="spellEnd"/>
      <w:r w:rsidRPr="001200DD">
        <w:rPr>
          <w:sz w:val="22"/>
          <w:szCs w:val="22"/>
          <w:lang w:val="es-ES"/>
        </w:rPr>
        <w:t xml:space="preserve"> </w:t>
      </w:r>
      <w:proofErr w:type="spellStart"/>
      <w:r w:rsidRPr="001200DD">
        <w:rPr>
          <w:sz w:val="22"/>
          <w:szCs w:val="22"/>
          <w:lang w:val="es-ES"/>
        </w:rPr>
        <w:t>System</w:t>
      </w:r>
      <w:proofErr w:type="spellEnd"/>
      <w:r w:rsidRPr="001200DD">
        <w:rPr>
          <w:sz w:val="22"/>
          <w:szCs w:val="22"/>
          <w:lang w:val="es-ES"/>
        </w:rPr>
        <w:t xml:space="preserve">), y en español como VANT (Vehículo Aéreo No Tripulado) o comúnmente llamado </w:t>
      </w:r>
      <w:proofErr w:type="spellStart"/>
      <w:r w:rsidRPr="001200DD">
        <w:rPr>
          <w:sz w:val="22"/>
          <w:szCs w:val="22"/>
          <w:lang w:val="es-ES"/>
        </w:rPr>
        <w:t>drone</w:t>
      </w:r>
      <w:proofErr w:type="spellEnd"/>
      <w:r w:rsidRPr="001200DD">
        <w:rPr>
          <w:sz w:val="22"/>
          <w:szCs w:val="22"/>
          <w:lang w:val="es-ES"/>
        </w:rPr>
        <w:t xml:space="preserve">. De acuerdo con el Departamento de Defensa de EE.UU., un avión no tripulado, es una “aeronave que no lleva un operador humano y es capaz de volar bajo mando a distancia o programación autónoma.” </w:t>
      </w:r>
    </w:p>
    <w:p w:rsidR="001C2792" w:rsidRDefault="00893F67" w:rsidP="001C27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003900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Cal15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93F6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(Calvo, E., B., &amp; S.,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C2792" w:rsidRPr="001200DD" w:rsidRDefault="001C2792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0DD" w:rsidRP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00DD">
        <w:rPr>
          <w:rFonts w:ascii="Times New Roman" w:hAnsi="Times New Roman" w:cs="Times New Roman"/>
        </w:rPr>
        <w:t>En base a esta y algunas otras investigaciones previas, surge Project Eagle como una idea de apoy</w:t>
      </w:r>
      <w:r w:rsidR="00A60A04">
        <w:rPr>
          <w:rFonts w:ascii="Times New Roman" w:hAnsi="Times New Roman" w:cs="Times New Roman"/>
        </w:rPr>
        <w:t>o al entorno</w:t>
      </w:r>
      <w:r w:rsidRPr="001200DD">
        <w:rPr>
          <w:rFonts w:ascii="Times New Roman" w:hAnsi="Times New Roman" w:cs="Times New Roman"/>
        </w:rPr>
        <w:t xml:space="preserve"> minero mediante el uso de </w:t>
      </w:r>
      <w:proofErr w:type="spellStart"/>
      <w:r w:rsidRPr="001200DD">
        <w:rPr>
          <w:rFonts w:ascii="Times New Roman" w:hAnsi="Times New Roman" w:cs="Times New Roman"/>
        </w:rPr>
        <w:t>drones</w:t>
      </w:r>
      <w:proofErr w:type="spellEnd"/>
      <w:r w:rsidRPr="001200DD">
        <w:rPr>
          <w:rFonts w:ascii="Times New Roman" w:hAnsi="Times New Roman" w:cs="Times New Roman"/>
        </w:rPr>
        <w:t xml:space="preserve"> equipados con d</w:t>
      </w:r>
      <w:r w:rsidR="00190797">
        <w:rPr>
          <w:rFonts w:ascii="Times New Roman" w:hAnsi="Times New Roman" w:cs="Times New Roman"/>
        </w:rPr>
        <w:t>iferentes elementos que permitan ofrecer</w:t>
      </w:r>
      <w:r w:rsidRPr="001200DD">
        <w:rPr>
          <w:rFonts w:ascii="Times New Roman" w:hAnsi="Times New Roman" w:cs="Times New Roman"/>
        </w:rPr>
        <w:t xml:space="preserve"> un ágil proceso de apoyo al presentarse un accidente.</w:t>
      </w:r>
    </w:p>
    <w:p w:rsidR="001200DD" w:rsidRP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0DD" w:rsidRPr="001200DD" w:rsidRDefault="001200DD" w:rsidP="001200DD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1200DD" w:rsidRP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 xml:space="preserve">DESCRIPCIÓN DEL PROBLEMA </w:t>
      </w:r>
    </w:p>
    <w:p w:rsidR="00303B85" w:rsidRDefault="00136674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base a </w:t>
      </w:r>
      <w:r w:rsidR="00E42C84">
        <w:rPr>
          <w:rFonts w:ascii="Times New Roman" w:hAnsi="Times New Roman" w:cs="Times New Roman"/>
        </w:rPr>
        <w:t xml:space="preserve">las estadísticas mineras del año 2015, </w:t>
      </w:r>
      <w:r w:rsidR="00303B85">
        <w:rPr>
          <w:rFonts w:ascii="Times New Roman" w:hAnsi="Times New Roman" w:cs="Times New Roman"/>
        </w:rPr>
        <w:t>se presentan lo</w:t>
      </w:r>
      <w:r w:rsidR="00E42C84">
        <w:rPr>
          <w:rFonts w:ascii="Times New Roman" w:hAnsi="Times New Roman" w:cs="Times New Roman"/>
        </w:rPr>
        <w:t>s</w:t>
      </w:r>
      <w:r w:rsidR="00303B85">
        <w:rPr>
          <w:rFonts w:ascii="Times New Roman" w:hAnsi="Times New Roman" w:cs="Times New Roman"/>
        </w:rPr>
        <w:t xml:space="preserve"> siguientes datos informativos. </w:t>
      </w:r>
    </w:p>
    <w:p w:rsidR="00303B85" w:rsidRDefault="00303B85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3E8A" w:rsidRDefault="00BE3E8A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43250" cy="2438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3E8A" w:rsidRDefault="00334EEC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852798564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 w:rsidRPr="00334EEC">
            <w:rPr>
              <w:rFonts w:ascii="Times New Roman" w:hAnsi="Times New Roman" w:cs="Times New Roman"/>
              <w:lang w:val="es-ES"/>
            </w:rPr>
            <w:instrText xml:space="preserve"> CITATION Min151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893F67" w:rsidRPr="00893F67">
            <w:rPr>
              <w:rFonts w:ascii="Times New Roman" w:hAnsi="Times New Roman" w:cs="Times New Roman"/>
              <w:noProof/>
              <w:lang w:val="es-ES"/>
            </w:rPr>
            <w:t>(Mineria, 2015)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</w:p>
    <w:p w:rsidR="00251430" w:rsidRDefault="00251430" w:rsidP="002514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Grafico 1 </w:t>
      </w:r>
      <w:r>
        <w:rPr>
          <w:rFonts w:ascii="Times New Roman" w:hAnsi="Times New Roman" w:cs="Times New Roman"/>
        </w:rPr>
        <w:t>Principales causas de emergencia</w:t>
      </w:r>
      <w:r w:rsidR="00C933C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minera</w:t>
      </w:r>
      <w:r w:rsidR="00C933C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2015</w:t>
      </w:r>
    </w:p>
    <w:p w:rsidR="000A3486" w:rsidRDefault="000A3486" w:rsidP="00251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A3486" w:rsidRDefault="000A3486" w:rsidP="00251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A3486" w:rsidRDefault="000A3486" w:rsidP="002514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757AFC" wp14:editId="6B516A49">
            <wp:extent cx="2743200" cy="134302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0A3486" w:rsidRDefault="000A3486" w:rsidP="00251430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12139673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Min151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0A3486">
            <w:rPr>
              <w:rFonts w:ascii="Times New Roman" w:hAnsi="Times New Roman" w:cs="Times New Roman"/>
              <w:noProof/>
              <w:lang w:val="en-US"/>
            </w:rPr>
            <w:t>(Mineria, 2015)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</w:p>
    <w:p w:rsidR="000A3486" w:rsidRDefault="000A3486" w:rsidP="002514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Grafico 2 </w:t>
      </w:r>
      <w:r w:rsidRPr="000A3486">
        <w:rPr>
          <w:rFonts w:ascii="Times New Roman" w:hAnsi="Times New Roman" w:cs="Times New Roman"/>
        </w:rPr>
        <w:t>Fatalidades en emergencias m</w:t>
      </w:r>
      <w:r>
        <w:rPr>
          <w:rFonts w:ascii="Times New Roman" w:hAnsi="Times New Roman" w:cs="Times New Roman"/>
        </w:rPr>
        <w:t>ineras por tipo de minería 2015</w:t>
      </w:r>
    </w:p>
    <w:p w:rsidR="00303B85" w:rsidRDefault="00303B85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00DD">
        <w:rPr>
          <w:rFonts w:ascii="Times New Roman" w:hAnsi="Times New Roman" w:cs="Times New Roman"/>
        </w:rPr>
        <w:t>Project Eagle</w:t>
      </w:r>
      <w:r w:rsidR="00F264E7">
        <w:rPr>
          <w:rFonts w:ascii="Times New Roman" w:hAnsi="Times New Roman" w:cs="Times New Roman"/>
        </w:rPr>
        <w:t xml:space="preserve"> participa con la intención </w:t>
      </w:r>
      <w:r w:rsidRPr="001200DD">
        <w:rPr>
          <w:rFonts w:ascii="Times New Roman" w:hAnsi="Times New Roman" w:cs="Times New Roman"/>
        </w:rPr>
        <w:t>de bajar los porcentajes de mo</w:t>
      </w:r>
      <w:r w:rsidR="00F264E7">
        <w:rPr>
          <w:rFonts w:ascii="Times New Roman" w:hAnsi="Times New Roman" w:cs="Times New Roman"/>
        </w:rPr>
        <w:t>rtandad en la industria minera</w:t>
      </w:r>
      <w:r w:rsidR="009C5E9E">
        <w:rPr>
          <w:rFonts w:ascii="Times New Roman" w:hAnsi="Times New Roman" w:cs="Times New Roman"/>
        </w:rPr>
        <w:t>,</w:t>
      </w:r>
      <w:r w:rsidR="00F264E7">
        <w:rPr>
          <w:rFonts w:ascii="Times New Roman" w:hAnsi="Times New Roman" w:cs="Times New Roman"/>
        </w:rPr>
        <w:t xml:space="preserve"> </w:t>
      </w:r>
      <w:r w:rsidR="00EC6802">
        <w:rPr>
          <w:rFonts w:ascii="Times New Roman" w:hAnsi="Times New Roman" w:cs="Times New Roman"/>
        </w:rPr>
        <w:t xml:space="preserve">sin dejar de lado la optimización de recursos a utilizar en las emergencias, </w:t>
      </w:r>
      <w:r w:rsidR="00F264E7">
        <w:rPr>
          <w:rFonts w:ascii="Times New Roman" w:hAnsi="Times New Roman" w:cs="Times New Roman"/>
        </w:rPr>
        <w:t xml:space="preserve">ya que </w:t>
      </w:r>
      <w:r w:rsidRPr="001200DD">
        <w:rPr>
          <w:rFonts w:ascii="Times New Roman" w:hAnsi="Times New Roman" w:cs="Times New Roman"/>
        </w:rPr>
        <w:t xml:space="preserve">muchos de los accidentes que ocurren en las minas tienen servicio de emergencias pero estos no son tan rápidos como deberían serlo debido a las magnitudes del accidente ya que si ocurre por ejemplo un deslave, es muy difícil para los servicios de emergencias entrar </w:t>
      </w:r>
      <w:r w:rsidR="00F264E7">
        <w:rPr>
          <w:rFonts w:ascii="Times New Roman" w:hAnsi="Times New Roman" w:cs="Times New Roman"/>
        </w:rPr>
        <w:t xml:space="preserve">al área del accidente </w:t>
      </w:r>
      <w:r w:rsidRPr="001200DD">
        <w:rPr>
          <w:rFonts w:ascii="Times New Roman" w:hAnsi="Times New Roman" w:cs="Times New Roman"/>
        </w:rPr>
        <w:t xml:space="preserve">para dar el auxilio al herido. </w:t>
      </w:r>
    </w:p>
    <w:p w:rsidR="009C5E9E" w:rsidRDefault="009C5E9E" w:rsidP="001200D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C5E9E" w:rsidRPr="001200DD" w:rsidRDefault="009C5E9E" w:rsidP="009C5E9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00DD">
        <w:rPr>
          <w:rFonts w:ascii="Times New Roman" w:hAnsi="Times New Roman" w:cs="Times New Roman"/>
        </w:rPr>
        <w:t xml:space="preserve">Cuando ocurre una fatalidad en la mina los gastos aproximados son de 250,000 pesos. </w:t>
      </w:r>
    </w:p>
    <w:p w:rsidR="009C5E9E" w:rsidRPr="009C5E9E" w:rsidRDefault="009C5E9E" w:rsidP="001200DD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sdt>
        <w:sdtPr>
          <w:rPr>
            <w:rFonts w:ascii="Times New Roman" w:hAnsi="Times New Roman" w:cs="Times New Roman"/>
            <w:lang w:val="es-ES"/>
          </w:rPr>
          <w:id w:val="130685913"/>
          <w:citation/>
        </w:sdtPr>
        <w:sdtContent>
          <w:r w:rsidRPr="001200DD">
            <w:rPr>
              <w:rFonts w:ascii="Times New Roman" w:hAnsi="Times New Roman" w:cs="Times New Roman"/>
              <w:lang w:val="es-ES"/>
            </w:rPr>
            <w:fldChar w:fldCharType="begin"/>
          </w:r>
          <w:r w:rsidRPr="001200DD">
            <w:rPr>
              <w:rFonts w:ascii="Times New Roman" w:hAnsi="Times New Roman" w:cs="Times New Roman"/>
            </w:rPr>
            <w:instrText xml:space="preserve"> CITATION Alv15 \l 2058 </w:instrText>
          </w:r>
          <w:r w:rsidRPr="001200DD">
            <w:rPr>
              <w:rFonts w:ascii="Times New Roman" w:hAnsi="Times New Roman" w:cs="Times New Roman"/>
              <w:lang w:val="es-ES"/>
            </w:rPr>
            <w:fldChar w:fldCharType="separate"/>
          </w:r>
          <w:r w:rsidRPr="00893F67">
            <w:rPr>
              <w:rFonts w:ascii="Times New Roman" w:hAnsi="Times New Roman" w:cs="Times New Roman"/>
              <w:noProof/>
            </w:rPr>
            <w:t>(Alvarado, 2015)</w:t>
          </w:r>
          <w:r w:rsidRPr="001200DD">
            <w:rPr>
              <w:rFonts w:ascii="Times New Roman" w:hAnsi="Times New Roman" w:cs="Times New Roman"/>
              <w:lang w:val="es-ES"/>
            </w:rPr>
            <w:fldChar w:fldCharType="end"/>
          </w:r>
        </w:sdtContent>
      </w:sdt>
    </w:p>
    <w:p w:rsidR="001200DD" w:rsidRP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200DD" w:rsidRPr="001200DD" w:rsidRDefault="001200DD" w:rsidP="001200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00DD">
        <w:rPr>
          <w:rFonts w:ascii="Times New Roman" w:hAnsi="Times New Roman" w:cs="Times New Roman"/>
        </w:rPr>
        <w:t>Existen numerosos riesgos que involu</w:t>
      </w:r>
      <w:r w:rsidR="00893F67">
        <w:rPr>
          <w:rFonts w:ascii="Times New Roman" w:hAnsi="Times New Roman" w:cs="Times New Roman"/>
        </w:rPr>
        <w:t xml:space="preserve">cra el uso de </w:t>
      </w:r>
      <w:proofErr w:type="spellStart"/>
      <w:r w:rsidR="00893F67">
        <w:rPr>
          <w:rFonts w:ascii="Times New Roman" w:hAnsi="Times New Roman" w:cs="Times New Roman"/>
        </w:rPr>
        <w:t>drones</w:t>
      </w:r>
      <w:proofErr w:type="spellEnd"/>
      <w:r w:rsidR="00893F67">
        <w:rPr>
          <w:rFonts w:ascii="Times New Roman" w:hAnsi="Times New Roman" w:cs="Times New Roman"/>
        </w:rPr>
        <w:t>, destacando</w:t>
      </w:r>
      <w:r w:rsidRPr="001200DD">
        <w:rPr>
          <w:rFonts w:ascii="Times New Roman" w:hAnsi="Times New Roman" w:cs="Times New Roman"/>
        </w:rPr>
        <w:t xml:space="preserve"> el hecho de que estén adaptados con equipamiento a temperatura adecuada para transportar suministros y que estén protegidos para no sufrir ningún tipo de exposición</w:t>
      </w:r>
      <w:r w:rsidR="00F264E7">
        <w:rPr>
          <w:rFonts w:ascii="Times New Roman" w:hAnsi="Times New Roman" w:cs="Times New Roman"/>
        </w:rPr>
        <w:t xml:space="preserve">, el peso de carga que soporta el </w:t>
      </w:r>
      <w:proofErr w:type="spellStart"/>
      <w:r w:rsidR="00F264E7">
        <w:rPr>
          <w:rFonts w:ascii="Times New Roman" w:hAnsi="Times New Roman" w:cs="Times New Roman"/>
        </w:rPr>
        <w:t>drone</w:t>
      </w:r>
      <w:proofErr w:type="spellEnd"/>
      <w:r w:rsidR="00F264E7">
        <w:rPr>
          <w:rFonts w:ascii="Times New Roman" w:hAnsi="Times New Roman" w:cs="Times New Roman"/>
        </w:rPr>
        <w:t xml:space="preserve"> o el tiempo que demora</w:t>
      </w:r>
      <w:r w:rsidRPr="001200DD">
        <w:rPr>
          <w:rFonts w:ascii="Times New Roman" w:hAnsi="Times New Roman" w:cs="Times New Roman"/>
        </w:rPr>
        <w:t xml:space="preserve"> en llegar al destino.</w:t>
      </w:r>
      <w:r w:rsidR="00893F67">
        <w:rPr>
          <w:rFonts w:ascii="Times New Roman" w:hAnsi="Times New Roman" w:cs="Times New Roman"/>
        </w:rPr>
        <w:t xml:space="preserve"> Es por eso que se requiere </w:t>
      </w:r>
      <w:r w:rsidR="009C5E9E">
        <w:rPr>
          <w:rFonts w:ascii="Times New Roman" w:hAnsi="Times New Roman" w:cs="Times New Roman"/>
        </w:rPr>
        <w:t>una adaptación segura y accesible para el transporte de equipamiento.</w:t>
      </w:r>
    </w:p>
    <w:p w:rsidR="001200DD" w:rsidRPr="001200DD" w:rsidRDefault="001200DD" w:rsidP="001200DD">
      <w:pPr>
        <w:rPr>
          <w:rStyle w:val="Textoennegrita"/>
          <w:rFonts w:ascii="Times New Roman" w:hAnsi="Times New Roman" w:cs="Times New Roman"/>
        </w:rPr>
      </w:pPr>
    </w:p>
    <w:p w:rsidR="001200DD" w:rsidRP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OBJETIVOS</w:t>
      </w:r>
    </w:p>
    <w:p w:rsidR="001200DD" w:rsidRDefault="001200DD" w:rsidP="001200DD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90797" w:rsidRPr="001200DD" w:rsidRDefault="00190797" w:rsidP="001200DD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MARCO TEÓRICO</w:t>
      </w:r>
    </w:p>
    <w:p w:rsidR="00190797" w:rsidRPr="00190797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90797" w:rsidRPr="001200DD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METODOLOGÍA</w:t>
      </w:r>
    </w:p>
    <w:p w:rsidR="00190797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90797" w:rsidRPr="001200DD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RESULTADOS</w:t>
      </w:r>
    </w:p>
    <w:p w:rsidR="00190797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90797" w:rsidRPr="001200DD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CONCLUSIONES</w:t>
      </w:r>
    </w:p>
    <w:p w:rsidR="00190797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90797" w:rsidRPr="001200DD" w:rsidRDefault="00190797" w:rsidP="00190797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1200DD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REFERENCIAS</w:t>
      </w:r>
    </w:p>
    <w:sdt>
      <w:sdtPr>
        <w:rPr>
          <w:lang w:val="es-ES"/>
        </w:rPr>
        <w:id w:val="-12223646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1C2792" w:rsidRPr="001C2792" w:rsidRDefault="001C2792">
          <w:pPr>
            <w:pStyle w:val="Ttulo1"/>
            <w:rPr>
              <w:lang w:val="es-ES"/>
            </w:rPr>
          </w:pPr>
        </w:p>
        <w:sdt>
          <w:sdtPr>
            <w:id w:val="111145805"/>
            <w:bibliography/>
          </w:sdtPr>
          <w:sdtContent>
            <w:p w:rsidR="00893F67" w:rsidRDefault="001C2792" w:rsidP="00893F6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3F67">
                <w:rPr>
                  <w:noProof/>
                </w:rPr>
                <w:t>Alvarado, R. (13 de Junio de 2015). Comunicación personal.</w:t>
              </w:r>
            </w:p>
            <w:p w:rsidR="00893F67" w:rsidRDefault="00893F67" w:rsidP="00893F6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Calvo, J., E., A., B., C., &amp; S., G. (25 de Noviembre de 2015). </w:t>
              </w:r>
              <w:r>
                <w:rPr>
                  <w:i/>
                  <w:iCs/>
                  <w:noProof/>
                </w:rPr>
                <w:t>Centre Delàs d’Estudis per la Pau • Justícia i Pau.</w:t>
              </w:r>
              <w:r>
                <w:rPr>
                  <w:noProof/>
                </w:rPr>
                <w:t xml:space="preserve"> Obtenido de http://www.centredelas.org/images/stories/informes/informe23_cas.pdf</w:t>
              </w:r>
            </w:p>
            <w:p w:rsidR="00893F67" w:rsidRDefault="00893F67" w:rsidP="00893F67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Mineria, A. N. (13 de Mayo de 2015). </w:t>
              </w:r>
              <w:r>
                <w:rPr>
                  <w:i/>
                  <w:iCs/>
                  <w:noProof/>
                </w:rPr>
                <w:t>SlideShare</w:t>
              </w:r>
              <w:r>
                <w:rPr>
                  <w:noProof/>
                </w:rPr>
                <w:t>. Obtenido de http://es.slideshare.net/AgenciaNaldeMineria/estadisticasde-emergenciasmineras22052015</w:t>
              </w:r>
            </w:p>
            <w:p w:rsidR="001C2792" w:rsidRDefault="001C2792" w:rsidP="00893F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0752" w:rsidRPr="00334EEC" w:rsidRDefault="00A30752" w:rsidP="00334EEC">
      <w:pPr>
        <w:ind w:left="360"/>
        <w:rPr>
          <w:rStyle w:val="Textoennegrita"/>
          <w:rFonts w:ascii="Times New Roman" w:hAnsi="Times New Roman" w:cs="Times New Roman"/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C0F4A" w:rsidRDefault="004C0F4A">
      <w:pPr>
        <w:rPr>
          <w:lang w:val="en-US"/>
        </w:rPr>
      </w:pPr>
    </w:p>
    <w:p w:rsidR="004E00AC" w:rsidRDefault="004C0F4A" w:rsidP="004C0F4A">
      <w:pPr>
        <w:jc w:val="right"/>
        <w:rPr>
          <w:lang w:val="en-US"/>
        </w:rPr>
      </w:pPr>
      <w:r>
        <w:rPr>
          <w:lang w:val="en-US"/>
        </w:rPr>
        <w:t>Daniela Najera</w:t>
      </w:r>
    </w:p>
    <w:p w:rsidR="004C0F4A" w:rsidRPr="001C2792" w:rsidRDefault="004C0F4A">
      <w:pPr>
        <w:rPr>
          <w:lang w:val="en-US"/>
        </w:rPr>
      </w:pPr>
    </w:p>
    <w:sectPr w:rsidR="004C0F4A" w:rsidRPr="001C2792" w:rsidSect="001200D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800EE"/>
    <w:multiLevelType w:val="hybridMultilevel"/>
    <w:tmpl w:val="D33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3F"/>
    <w:rsid w:val="000A3486"/>
    <w:rsid w:val="001200DD"/>
    <w:rsid w:val="00136674"/>
    <w:rsid w:val="00190797"/>
    <w:rsid w:val="001C2792"/>
    <w:rsid w:val="00226924"/>
    <w:rsid w:val="00251430"/>
    <w:rsid w:val="00260E02"/>
    <w:rsid w:val="002745FD"/>
    <w:rsid w:val="00274619"/>
    <w:rsid w:val="00303B85"/>
    <w:rsid w:val="00334EEC"/>
    <w:rsid w:val="003C376A"/>
    <w:rsid w:val="004C0F4A"/>
    <w:rsid w:val="004E00AC"/>
    <w:rsid w:val="005446A1"/>
    <w:rsid w:val="00622A69"/>
    <w:rsid w:val="00762B17"/>
    <w:rsid w:val="00893F67"/>
    <w:rsid w:val="00993393"/>
    <w:rsid w:val="009C5E9E"/>
    <w:rsid w:val="009E509D"/>
    <w:rsid w:val="00A30752"/>
    <w:rsid w:val="00A60A04"/>
    <w:rsid w:val="00BE3E8A"/>
    <w:rsid w:val="00C0013F"/>
    <w:rsid w:val="00C933C5"/>
    <w:rsid w:val="00E42C84"/>
    <w:rsid w:val="00EC6802"/>
    <w:rsid w:val="00F03839"/>
    <w:rsid w:val="00F264E7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749F-800F-4C75-9638-6F65BA18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D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C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00DD"/>
    <w:rPr>
      <w:b/>
      <w:bCs/>
    </w:rPr>
  </w:style>
  <w:style w:type="paragraph" w:styleId="Prrafodelista">
    <w:name w:val="List Paragraph"/>
    <w:basedOn w:val="Normal"/>
    <w:uiPriority w:val="34"/>
    <w:qFormat/>
    <w:rsid w:val="001200DD"/>
    <w:pPr>
      <w:ind w:left="720"/>
      <w:contextualSpacing/>
    </w:pPr>
  </w:style>
  <w:style w:type="paragraph" w:customStyle="1" w:styleId="Default">
    <w:name w:val="Default"/>
    <w:rsid w:val="00120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A30752"/>
  </w:style>
  <w:style w:type="character" w:customStyle="1" w:styleId="Ttulo1Car">
    <w:name w:val="Título 1 Car"/>
    <w:basedOn w:val="Fuentedeprrafopredeter"/>
    <w:link w:val="Ttulo1"/>
    <w:uiPriority w:val="9"/>
    <w:rsid w:val="001C2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tx1">
                <a:lumMod val="85000"/>
                <a:lumOff val="15000"/>
                <a:alpha val="34000"/>
              </a:schemeClr>
            </a:solidFill>
            <a:ln>
              <a:noFill/>
            </a:ln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2"/>
              <c:layout>
                <c:manualLayout>
                  <c:x val="-2.4242424242424242E-2"/>
                  <c:y val="-9.54850080601499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spc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Atmosferas viciadas </c:v>
                </c:pt>
                <c:pt idx="1">
                  <c:v>Caida a diferente nivel</c:v>
                </c:pt>
                <c:pt idx="2">
                  <c:v> Derrumbe</c:v>
                </c:pt>
                <c:pt idx="3">
                  <c:v> Eléctricos</c:v>
                </c:pt>
                <c:pt idx="4">
                  <c:v>Mécanicos</c:v>
                </c:pt>
                <c:pt idx="5">
                  <c:v>Explosión</c:v>
                </c:pt>
                <c:pt idx="6">
                  <c:v> Inestabilidad de taludes</c:v>
                </c:pt>
                <c:pt idx="7">
                  <c:v>Incendio</c:v>
                </c:pt>
                <c:pt idx="8">
                  <c:v>Inundación </c:v>
                </c:pt>
                <c:pt idx="9">
                  <c:v>Otras causas</c:v>
                </c:pt>
              </c:strCache>
            </c:strRef>
          </c:cat>
          <c:val>
            <c:numRef>
              <c:f>Hoja1!$B$2:$B$11</c:f>
              <c:numCache>
                <c:formatCode>0%</c:formatCode>
                <c:ptCount val="10"/>
                <c:pt idx="0">
                  <c:v>0.16</c:v>
                </c:pt>
                <c:pt idx="1">
                  <c:v>0.08</c:v>
                </c:pt>
                <c:pt idx="2">
                  <c:v>0.18</c:v>
                </c:pt>
                <c:pt idx="3">
                  <c:v>0.03</c:v>
                </c:pt>
                <c:pt idx="4">
                  <c:v>0.11</c:v>
                </c:pt>
                <c:pt idx="5">
                  <c:v>0.16</c:v>
                </c:pt>
                <c:pt idx="6">
                  <c:v>0.05</c:v>
                </c:pt>
                <c:pt idx="7">
                  <c:v>0.13</c:v>
                </c:pt>
                <c:pt idx="8">
                  <c:v>0.05</c:v>
                </c:pt>
                <c:pt idx="9">
                  <c:v>0.05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399773168"/>
        <c:axId val="399775912"/>
      </c:barChart>
      <c:valAx>
        <c:axId val="39977591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773168"/>
        <c:crosses val="autoZero"/>
        <c:crossBetween val="between"/>
      </c:valAx>
      <c:catAx>
        <c:axId val="399773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775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430191017789442"/>
          <c:y val="3.7825059101654845E-2"/>
          <c:w val="0.60820975503062114"/>
          <c:h val="0.7428059790398541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Emergencias</c:v>
                </c:pt>
              </c:strCache>
            </c:strRef>
          </c:tx>
          <c:spPr>
            <a:solidFill>
              <a:schemeClr val="tx1">
                <a:lumMod val="85000"/>
                <a:lumOff val="15000"/>
                <a:alpha val="34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Cielo abierto</c:v>
                </c:pt>
                <c:pt idx="1">
                  <c:v>Subterraneas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0.15</c:v>
                </c:pt>
                <c:pt idx="1">
                  <c:v>0.85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99779440"/>
        <c:axId val="399773560"/>
      </c:barChart>
      <c:valAx>
        <c:axId val="399773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779440"/>
        <c:crosses val="autoZero"/>
        <c:crossBetween val="between"/>
      </c:valAx>
      <c:catAx>
        <c:axId val="399779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7735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Alv15</b:Tag>
    <b:SourceType>Interview</b:SourceType>
    <b:Guid>{4B863FB0-66CD-4694-8AF5-B853752CD887}</b:Guid>
    <b:Title>Comunicación personal</b:Title>
    <b:Year>2015</b:Year>
    <b:Author>
      <b:Interviewee>
        <b:NameList>
          <b:Person>
            <b:Last>Alvarado</b:Last>
            <b:First>Rogelio</b:First>
          </b:Person>
        </b:NameList>
      </b:Interviewee>
    </b:Author>
    <b:Month>Junio</b:Month>
    <b:Day>13</b:Day>
    <b:RefOrder>3</b:RefOrder>
  </b:Source>
  <b:Source>
    <b:Tag>Cal15</b:Tag>
    <b:SourceType>InternetSite</b:SourceType>
    <b:Guid>{B0D18808-2427-4596-8E45-8B79A4EB7099}</b:Guid>
    <b:Title>Centre Delàs d’Estudis per la Pau • Justícia i Pau.</b:Title>
    <b:Year>2015</b:Year>
    <b:Month>Noviembre</b:Month>
    <b:Day>25</b:Day>
    <b:URL>http://www.centredelas.org/images/stories/informes/informe23_cas.pdf</b:URL>
    <b:Author>
      <b:Author>
        <b:NameList>
          <b:Person>
            <b:Last>Calvo</b:Last>
            <b:First>J.</b:First>
          </b:Person>
          <b:Person>
            <b:Last>E.</b:Last>
            <b:First>Anna</b:First>
          </b:Person>
          <b:Person>
            <b:Last>B.</b:Last>
            <b:First>Carles</b:First>
          </b:Person>
          <b:Person>
            <b:Last>S.</b:Last>
            <b:First>Gabriela</b:First>
          </b:Person>
        </b:NameList>
      </b:Author>
    </b:Author>
    <b:RefOrder>1</b:RefOrder>
  </b:Source>
  <b:Source>
    <b:Tag>Min151</b:Tag>
    <b:SourceType>InternetSite</b:SourceType>
    <b:Guid>{9A84C6D6-085A-4557-BEDB-28555CE5DBEB}</b:Guid>
    <b:Author>
      <b:Author>
        <b:NameList>
          <b:Person>
            <b:Last>Mineria</b:Last>
            <b:First>Agencia</b:First>
            <b:Middle>Nacional de</b:Middle>
          </b:Person>
        </b:NameList>
      </b:Author>
    </b:Author>
    <b:Title>SlideShare</b:Title>
    <b:Year>2015</b:Year>
    <b:Month>Mayo</b:Month>
    <b:Day>13</b:Day>
    <b:URL>http://es.slideshare.net/AgenciaNaldeMineria/estadisticasde-emergenciasmineras22052015</b:URL>
    <b:RefOrder>2</b:RefOrder>
  </b:Source>
</b:Sources>
</file>

<file path=customXml/itemProps1.xml><?xml version="1.0" encoding="utf-8"?>
<ds:datastoreItem xmlns:ds="http://schemas.openxmlformats.org/officeDocument/2006/customXml" ds:itemID="{05AC6119-5869-4825-B171-598B7DE3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14</cp:revision>
  <dcterms:created xsi:type="dcterms:W3CDTF">2016-01-28T05:38:00Z</dcterms:created>
  <dcterms:modified xsi:type="dcterms:W3CDTF">2016-01-29T05:29:00Z</dcterms:modified>
</cp:coreProperties>
</file>