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CEEE" w14:textId="77777777" w:rsidR="000625F0" w:rsidRDefault="00CB61E6">
      <w:pPr>
        <w:spacing w:after="100"/>
        <w:jc w:val="center"/>
      </w:pPr>
      <w:proofErr w:type="spellStart"/>
      <w:r>
        <w:rPr>
          <w:b/>
          <w:bCs/>
          <w:sz w:val="32"/>
          <w:szCs w:val="32"/>
        </w:rPr>
        <w:t>PreventIA</w:t>
      </w:r>
      <w:proofErr w:type="spellEnd"/>
      <w:r>
        <w:rPr>
          <w:b/>
          <w:bCs/>
          <w:sz w:val="32"/>
          <w:szCs w:val="32"/>
        </w:rPr>
        <w:t>: Informe de Producto y Asesoría Técnica</w:t>
      </w:r>
    </w:p>
    <w:p w14:paraId="0706CEEF" w14:textId="490712EA" w:rsidR="000625F0" w:rsidRDefault="00CB61E6">
      <w:pPr>
        <w:spacing w:after="400"/>
        <w:jc w:val="center"/>
      </w:pPr>
      <w:r>
        <w:rPr>
          <w:i/>
          <w:iCs/>
          <w:sz w:val="24"/>
          <w:szCs w:val="24"/>
        </w:rPr>
        <w:t>Monitoreo Remoto para la Continuidad del Cuidado</w:t>
      </w:r>
    </w:p>
    <w:p w14:paraId="0706CEF0" w14:textId="77777777" w:rsidR="000625F0" w:rsidRDefault="00CB61E6">
      <w:pPr>
        <w:pStyle w:val="Ttulo1"/>
        <w:spacing w:before="400" w:after="200"/>
      </w:pPr>
      <w:r>
        <w:rPr>
          <w:b/>
          <w:bCs/>
        </w:rPr>
        <w:t>1. Declaración del Problema (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Statement</w:t>
      </w:r>
      <w:proofErr w:type="spellEnd"/>
      <w:r>
        <w:rPr>
          <w:b/>
          <w:bCs/>
        </w:rPr>
        <w:t>)</w:t>
      </w:r>
    </w:p>
    <w:p w14:paraId="0706CEF1" w14:textId="77777777" w:rsidR="000625F0" w:rsidRDefault="00CB61E6">
      <w:pPr>
        <w:spacing w:after="160"/>
      </w:pPr>
      <w:r>
        <w:t>El sistema de salud público en Chile enfrentará una presión insostenible debido al envejecimiento acelerado de la población y la falta de continuidad en el seguimiento de patologías crónicas no transmisibles.</w:t>
      </w:r>
    </w:p>
    <w:p w14:paraId="0706CEF2" w14:textId="77777777" w:rsidR="000625F0" w:rsidRDefault="00CB61E6">
      <w:pPr>
        <w:spacing w:after="160"/>
      </w:pPr>
      <w:r>
        <w:rPr>
          <w:b/>
          <w:bCs/>
        </w:rPr>
        <w:t xml:space="preserve">Falta de control efectivo en el Programa de Salud Cardiovascular (PSCV): </w:t>
      </w:r>
      <w:r>
        <w:t>el 61,8% de la población hipertensa bajo control en la Atención Primaria de Salud (APS) no tiene controlada su patología, registrándose una marcada brecha de género (44,5% de cobertura en mujeres frente a 30,7% en hombres).</w:t>
      </w:r>
    </w:p>
    <w:p w14:paraId="0706CEF3" w14:textId="77777777" w:rsidR="000625F0" w:rsidRDefault="00CB61E6">
      <w:pPr>
        <w:spacing w:after="160"/>
      </w:pPr>
      <w:r>
        <w:rPr>
          <w:b/>
          <w:bCs/>
        </w:rPr>
        <w:t xml:space="preserve">Persistencia de hospitalizaciones evitables: </w:t>
      </w:r>
      <w:r>
        <w:t>las hospitalizaciones por crisis de Hipertensión Arterial (HTA) se mantienen estancadas entre 14,3 y 14,9 por 100.000 habitantes, alejadas de la meta país de 12,4 al 2030, con especial severidad en regiones del norte y sur del país.</w:t>
      </w:r>
    </w:p>
    <w:p w14:paraId="0706CEF4" w14:textId="77777777" w:rsidR="000625F0" w:rsidRDefault="00CB61E6">
      <w:pPr>
        <w:spacing w:after="160"/>
      </w:pPr>
      <w:r>
        <w:rPr>
          <w:b/>
          <w:bCs/>
        </w:rPr>
        <w:t xml:space="preserve">Baja cobertura de prevención secundaria: </w:t>
      </w:r>
      <w:r>
        <w:t>en pacientes con antecedentes de infarto o ACV, la prescripción/adherencia a antiagregantes plaquetarios no supera el 50% (meta de 70% al 2030) y con estatinas alcanza entre 53% y 65,9% (meta de 80%).</w:t>
      </w:r>
    </w:p>
    <w:p w14:paraId="0706CEF5" w14:textId="77777777" w:rsidR="000625F0" w:rsidRDefault="00CB61E6">
      <w:pPr>
        <w:spacing w:after="160"/>
      </w:pPr>
      <w:r>
        <w:rPr>
          <w:b/>
          <w:bCs/>
        </w:rPr>
        <w:t xml:space="preserve">Inercia y brecha de atención: </w:t>
      </w:r>
      <w:r>
        <w:t>el modelo tradicional es reactivo y depende de controles presenciales esporádicos. Los pacientes en riesgo leve no cuentan con una herramienta de acompañamiento entre citas, lo que facilita la falta de adherencia farmacológica y la progresión acelerada hacia niveles de mayor severidad.</w:t>
      </w:r>
    </w:p>
    <w:p w14:paraId="0706CEF6" w14:textId="77777777" w:rsidR="000625F0" w:rsidRDefault="00CB61E6">
      <w:pPr>
        <w:pStyle w:val="Ttulo1"/>
        <w:spacing w:before="400" w:after="20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Elevator</w:t>
      </w:r>
      <w:proofErr w:type="spellEnd"/>
      <w:r>
        <w:rPr>
          <w:b/>
          <w:bCs/>
        </w:rPr>
        <w:t xml:space="preserve"> Pitch</w:t>
      </w:r>
    </w:p>
    <w:p w14:paraId="0706CEF7" w14:textId="77777777" w:rsidR="000625F0" w:rsidRDefault="00CB61E6">
      <w:pPr>
        <w:spacing w:after="160"/>
      </w:pPr>
      <w:r>
        <w:t>"En Chile, la población de 65 años o más ya representa el 14% del país y más del 91% de ella depende exclusivamente de Fonasa para su atención. Dentro de este grupo, sobre el 70% sufre de hipertensión y más del 30% vive con diabetes, pero un 61,8% no logra mantener su patología controlada. Hoy, el sistema actúa cuando la crisis ya ocurrió, saturando las urgencias y generando hospitalizaciones que le cuestan a la red pública de 5 a 12 millones de pesos por cada evento grave.</w:t>
      </w:r>
    </w:p>
    <w:p w14:paraId="0706CEF8" w14:textId="77777777" w:rsidR="000625F0" w:rsidRDefault="00CB61E6">
      <w:pPr>
        <w:spacing w:after="160"/>
      </w:pPr>
      <w:r>
        <w:t xml:space="preserve">Con </w:t>
      </w:r>
      <w:proofErr w:type="spellStart"/>
      <w:r>
        <w:t>PreventIA</w:t>
      </w:r>
      <w:proofErr w:type="spellEnd"/>
      <w:r>
        <w:t xml:space="preserve"> cambiamos esta realidad poniendo la prevención continua en la palma de su mano. A través de un monitoreo remoto ultra accesible por WhatsApp y mensajes de voz, actuamos como el brazo digital del equipo de salud para acompañar al paciente en su día a día. Logramos que hasta un 35% más de usuarios en el programa cardiovascular alcance sus metas de presión y glicemia, detectando descompensaciones antes de que se vuelvan una urgencia.</w:t>
      </w:r>
    </w:p>
    <w:p w14:paraId="0706CEF9" w14:textId="77777777" w:rsidR="000625F0" w:rsidRDefault="00CB61E6">
      <w:pPr>
        <w:spacing w:after="160"/>
      </w:pPr>
      <w:r>
        <w:t xml:space="preserve">¿El impacto directo en la gestión del centro? Reducimos hasta un 30% las atenciones de urgencia en SAPU/SAR y un 20% las </w:t>
      </w:r>
      <w:proofErr w:type="spellStart"/>
      <w:r>
        <w:t>rehospitalizaciones</w:t>
      </w:r>
      <w:proofErr w:type="spellEnd"/>
      <w:r>
        <w:t>, transformando un gasto reactivo en eventos críticos en una inversión preventiva, eficiente y alineada con las metas del MINSAL. Cuidar a nuestra comunidad es, al mismo tiempo, la decisión de gestión más sostenible."</w:t>
      </w:r>
    </w:p>
    <w:p w14:paraId="0706CEFA" w14:textId="77777777" w:rsidR="000625F0" w:rsidRDefault="00CB61E6">
      <w:pPr>
        <w:pStyle w:val="Ttulo1"/>
        <w:spacing w:before="400" w:after="200"/>
      </w:pPr>
      <w:r>
        <w:rPr>
          <w:b/>
          <w:bCs/>
        </w:rPr>
        <w:t>3. Población Objetivo (Target)</w:t>
      </w:r>
    </w:p>
    <w:p w14:paraId="0706CEFB" w14:textId="77777777" w:rsidR="000625F0" w:rsidRDefault="00CB61E6">
      <w:pPr>
        <w:pStyle w:val="Ttulo2"/>
        <w:spacing w:before="300" w:after="150"/>
      </w:pPr>
      <w:r>
        <w:rPr>
          <w:b/>
          <w:bCs/>
        </w:rPr>
        <w:t>A. Perfil Demográfico</w:t>
      </w:r>
    </w:p>
    <w:p w14:paraId="0706CEFC" w14:textId="77777777" w:rsidR="000625F0" w:rsidRDefault="00CB61E6">
      <w:pPr>
        <w:spacing w:after="160"/>
      </w:pPr>
      <w:r>
        <w:rPr>
          <w:b/>
          <w:bCs/>
        </w:rPr>
        <w:t xml:space="preserve">Población específica: </w:t>
      </w:r>
      <w:r>
        <w:t>adultos de 65 a 75 años residentes en Chile.</w:t>
      </w:r>
    </w:p>
    <w:p w14:paraId="0706CEFD" w14:textId="77777777" w:rsidR="000625F0" w:rsidRDefault="00CB61E6">
      <w:pPr>
        <w:spacing w:after="160"/>
      </w:pPr>
      <w:r>
        <w:rPr>
          <w:b/>
          <w:bCs/>
        </w:rPr>
        <w:t xml:space="preserve">Justificación del rango etario: </w:t>
      </w:r>
      <w:r>
        <w:t>el límite de 75 años responde al tope superior del protocolo farmacológico de la vía clínica HEARTS-Chile (que excluye mayores de 80 años).</w:t>
      </w:r>
    </w:p>
    <w:p w14:paraId="0706CEFE" w14:textId="77777777" w:rsidR="000625F0" w:rsidRDefault="00CB61E6">
      <w:pPr>
        <w:pStyle w:val="Ttulo3"/>
        <w:spacing w:before="250" w:after="120"/>
      </w:pPr>
      <w:r>
        <w:rPr>
          <w:b/>
          <w:bCs/>
        </w:rPr>
        <w:lastRenderedPageBreak/>
        <w:t>Perfil socioeconómico y previsión:</w:t>
      </w:r>
    </w:p>
    <w:p w14:paraId="0706CEFF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Sistema de Salud: el 91,94% de los adultos mayores de 65 años en Chile está afiliado a Fonasa.</w:t>
      </w:r>
    </w:p>
    <w:p w14:paraId="0706CF00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Distribución por Tramos: el 64,91% pertenece al Tramo B de Fonasa (ingresos de $460.000, copago cero en la red pública).</w:t>
      </w:r>
    </w:p>
    <w:p w14:paraId="0706CF01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Capacidad de Amortiguación: el 96,77% no cuenta con seguro complementario de salud (solo el 3,23% lo posee), dependiendo al 100% de la disponibilidad de insumos y fármacos de la red pública.</w:t>
      </w:r>
    </w:p>
    <w:p w14:paraId="0706CF02" w14:textId="77777777" w:rsidR="000625F0" w:rsidRDefault="00CB61E6">
      <w:pPr>
        <w:pStyle w:val="Ttulo2"/>
        <w:spacing w:before="300" w:after="150"/>
      </w:pPr>
      <w:r>
        <w:rPr>
          <w:b/>
          <w:bCs/>
        </w:rPr>
        <w:t>B. Criterios Clínicos de Inclusión y Exclusión</w:t>
      </w:r>
    </w:p>
    <w:p w14:paraId="0706CF03" w14:textId="77777777" w:rsidR="000625F0" w:rsidRDefault="00CB61E6">
      <w:pPr>
        <w:pStyle w:val="Ttulo3"/>
        <w:spacing w:before="250" w:after="120"/>
      </w:pPr>
      <w:r>
        <w:rPr>
          <w:b/>
          <w:bCs/>
        </w:rPr>
        <w:t>Criterio de Inclusión:</w:t>
      </w:r>
    </w:p>
    <w:p w14:paraId="0706CF04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Diagnóstico confirmado de HTA y/o DM2.</w:t>
      </w:r>
    </w:p>
    <w:p w14:paraId="0706CF05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Utilización de WhatsApp.</w:t>
      </w:r>
    </w:p>
    <w:p w14:paraId="0706CF06" w14:textId="77777777" w:rsidR="000625F0" w:rsidRDefault="00CB61E6">
      <w:pPr>
        <w:pStyle w:val="Ttulo3"/>
        <w:spacing w:before="250" w:after="120"/>
      </w:pPr>
      <w:r>
        <w:rPr>
          <w:b/>
          <w:bCs/>
        </w:rPr>
        <w:t>Criterios de Exclusión:</w:t>
      </w:r>
    </w:p>
    <w:p w14:paraId="0706CF07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Pacientes de 76 años +</w:t>
      </w:r>
    </w:p>
    <w:p w14:paraId="0706CF08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Pacientes con múltiples patologías.</w:t>
      </w:r>
    </w:p>
    <w:p w14:paraId="0706CF09" w14:textId="77777777" w:rsidR="000625F0" w:rsidRDefault="00CB61E6">
      <w:pPr>
        <w:pStyle w:val="Ttulo1"/>
        <w:spacing w:before="400" w:after="200"/>
      </w:pPr>
      <w:r>
        <w:rPr>
          <w:b/>
          <w:bCs/>
        </w:rPr>
        <w:t>4. Canal de Adopción y Usabilidad (UX / Inclusión Digital)</w:t>
      </w:r>
    </w:p>
    <w:p w14:paraId="0706CF0A" w14:textId="77777777" w:rsidR="000625F0" w:rsidRDefault="00CB61E6">
      <w:pPr>
        <w:spacing w:after="160"/>
      </w:pPr>
      <w:r>
        <w:t>El canal seleccionado para la interacción con la población objetivo es WhatsApp (vía texto y mensajes de voz).</w:t>
      </w:r>
    </w:p>
    <w:p w14:paraId="0706CF0B" w14:textId="77777777" w:rsidR="000625F0" w:rsidRDefault="00CB61E6">
      <w:pPr>
        <w:pStyle w:val="Ttulo2"/>
        <w:spacing w:before="300" w:after="150"/>
      </w:pPr>
      <w:r>
        <w:rPr>
          <w:b/>
          <w:bCs/>
        </w:rPr>
        <w:t>A. Justificación Técnica de Usabilidad</w:t>
      </w:r>
    </w:p>
    <w:p w14:paraId="0706CF0C" w14:textId="77777777" w:rsidR="000625F0" w:rsidRDefault="00CB61E6">
      <w:pPr>
        <w:spacing w:after="160"/>
      </w:pPr>
      <w:r>
        <w:rPr>
          <w:b/>
          <w:bCs/>
        </w:rPr>
        <w:t xml:space="preserve">Penetración del canal: </w:t>
      </w:r>
      <w:r>
        <w:t xml:space="preserve">según el Observatorio del Envejecimiento (UC / </w:t>
      </w:r>
      <w:proofErr w:type="spellStart"/>
      <w:r>
        <w:t>Confuturo</w:t>
      </w:r>
      <w:proofErr w:type="spellEnd"/>
      <w:r>
        <w:t>), cerca del 98% de los adultos mayores que utilizan teléfonos inteligentes en Chile emplean WhatsApp como su herramienta principal de comunicación.</w:t>
      </w:r>
    </w:p>
    <w:p w14:paraId="0706CF0D" w14:textId="77777777" w:rsidR="000625F0" w:rsidRDefault="00CB61E6">
      <w:pPr>
        <w:spacing w:after="160"/>
      </w:pPr>
      <w:r>
        <w:rPr>
          <w:b/>
          <w:bCs/>
        </w:rPr>
        <w:t xml:space="preserve">Inclusión digital por audio: </w:t>
      </w:r>
      <w:proofErr w:type="gramStart"/>
      <w:r>
        <w:t>de acuerdo a</w:t>
      </w:r>
      <w:proofErr w:type="gramEnd"/>
      <w:r>
        <w:t xml:space="preserve"> estudios del SENAMA, la interacción asincrónica mediante notas de voz actúa como el mecanismo de entrada idóneo para personas de 70 años, ya que disminuye sustancialmente las barreras asociadas a la presbicia o a la falta de motricidad fina requerida para el teclado táctil.</w:t>
      </w:r>
    </w:p>
    <w:p w14:paraId="0706CF0E" w14:textId="77777777" w:rsidR="000625F0" w:rsidRDefault="00CB61E6">
      <w:pPr>
        <w:spacing w:after="160"/>
      </w:pPr>
      <w:r>
        <w:rPr>
          <w:b/>
          <w:bCs/>
        </w:rPr>
        <w:t xml:space="preserve">Adopción por tramos de edad: </w:t>
      </w:r>
      <w:r>
        <w:t xml:space="preserve">el Pew </w:t>
      </w:r>
      <w:proofErr w:type="spellStart"/>
      <w:r>
        <w:t>Research</w:t>
      </w:r>
      <w:proofErr w:type="spellEnd"/>
      <w:r>
        <w:t xml:space="preserve"> Center respalda que la adopción independiente de smartphones alcanza su punto máximo de autonomía entre los 65 y 74 años, mientras que en mayores de 75 años la interacción suele requerir la asistencia de un tercero o familiar de apoyo, variante prevista dentro del flujo operativo de </w:t>
      </w:r>
      <w:proofErr w:type="spellStart"/>
      <w:r>
        <w:t>PreventIA</w:t>
      </w:r>
      <w:proofErr w:type="spellEnd"/>
      <w:r>
        <w:t>.</w:t>
      </w:r>
    </w:p>
    <w:p w14:paraId="0706CF0F" w14:textId="77777777" w:rsidR="000625F0" w:rsidRDefault="00CB61E6">
      <w:pPr>
        <w:pStyle w:val="Ttulo1"/>
        <w:spacing w:before="400" w:after="200"/>
      </w:pPr>
      <w:r>
        <w:rPr>
          <w:b/>
          <w:bCs/>
        </w:rPr>
        <w:t>5. Impacto Cuantitativo Proyectado</w:t>
      </w:r>
    </w:p>
    <w:p w14:paraId="0706CF10" w14:textId="77777777" w:rsidR="000625F0" w:rsidRDefault="00CB61E6">
      <w:pPr>
        <w:pStyle w:val="Ttulo2"/>
        <w:spacing w:before="300" w:after="150"/>
      </w:pPr>
      <w:r>
        <w:rPr>
          <w:b/>
          <w:bCs/>
        </w:rPr>
        <w:t>A. Resultados Clínicos y Fisiológicos</w:t>
      </w:r>
    </w:p>
    <w:p w14:paraId="0706CF11" w14:textId="77777777" w:rsidR="000625F0" w:rsidRDefault="00CB61E6">
      <w:pPr>
        <w:spacing w:after="160"/>
      </w:pPr>
      <w:r>
        <w:rPr>
          <w:b/>
          <w:bCs/>
        </w:rPr>
        <w:t xml:space="preserve">Control Fisiológico: </w:t>
      </w:r>
      <w:r>
        <w:t xml:space="preserve">aumento de entre un 25% y un 35% en la proporción de usuarios que alcanzan las metas de Presión Arterial (140/90 </w:t>
      </w:r>
      <w:proofErr w:type="spellStart"/>
      <w:r>
        <w:t>mmHg</w:t>
      </w:r>
      <w:proofErr w:type="spellEnd"/>
      <w:r>
        <w:t xml:space="preserve"> o 130/80 </w:t>
      </w:r>
      <w:proofErr w:type="spellStart"/>
      <w:r>
        <w:t>mmHg</w:t>
      </w:r>
      <w:proofErr w:type="spellEnd"/>
      <w:r>
        <w:t xml:space="preserve"> según RCV) y Hemoglobina Glicosilada.</w:t>
      </w:r>
    </w:p>
    <w:p w14:paraId="0706CF12" w14:textId="77777777" w:rsidR="000625F0" w:rsidRDefault="00CB61E6">
      <w:pPr>
        <w:spacing w:after="160"/>
      </w:pPr>
      <w:r>
        <w:rPr>
          <w:b/>
          <w:bCs/>
        </w:rPr>
        <w:t xml:space="preserve">Disminución del Riesgo Cardiovascular: </w:t>
      </w:r>
      <w:r>
        <w:t xml:space="preserve">reducción de un 27% en la incidencia de Accidente Cerebrovascular (ACV) y de un 28% en Insuficiencia Cardíaca gracias a la disminución promedio sostenida de 10 </w:t>
      </w:r>
      <w:proofErr w:type="spellStart"/>
      <w:r>
        <w:t>mmHg</w:t>
      </w:r>
      <w:proofErr w:type="spellEnd"/>
      <w:r>
        <w:t xml:space="preserve"> en la presión sistólica.</w:t>
      </w:r>
    </w:p>
    <w:p w14:paraId="0706CF13" w14:textId="77777777" w:rsidR="000625F0" w:rsidRDefault="00CB61E6">
      <w:pPr>
        <w:pStyle w:val="Ttulo2"/>
        <w:spacing w:before="300" w:after="150"/>
      </w:pPr>
      <w:r>
        <w:rPr>
          <w:b/>
          <w:bCs/>
        </w:rPr>
        <w:t>B. Impacto Operativo e Indicadores Sanitarios (APS)</w:t>
      </w:r>
    </w:p>
    <w:p w14:paraId="0706CF14" w14:textId="77777777" w:rsidR="000625F0" w:rsidRDefault="00CB61E6">
      <w:pPr>
        <w:spacing w:after="160"/>
      </w:pPr>
      <w:r>
        <w:rPr>
          <w:b/>
          <w:bCs/>
        </w:rPr>
        <w:lastRenderedPageBreak/>
        <w:t xml:space="preserve">Atenciones de Urgencia Evitadas: </w:t>
      </w:r>
      <w:r>
        <w:t xml:space="preserve">reducción del 20% al 30% en las consultas no programadas por crisis de HTA o descompensaciones </w:t>
      </w:r>
      <w:proofErr w:type="spellStart"/>
      <w:r>
        <w:t>hiperglicémicas</w:t>
      </w:r>
      <w:proofErr w:type="spellEnd"/>
      <w:r>
        <w:t xml:space="preserve"> en SAPU/SAR.</w:t>
      </w:r>
    </w:p>
    <w:p w14:paraId="0706CF15" w14:textId="77777777" w:rsidR="000625F0" w:rsidRDefault="00CB61E6">
      <w:pPr>
        <w:spacing w:after="160"/>
      </w:pPr>
      <w:proofErr w:type="spellStart"/>
      <w:r>
        <w:rPr>
          <w:b/>
          <w:bCs/>
        </w:rPr>
        <w:t>Rehospitalizaciones</w:t>
      </w:r>
      <w:proofErr w:type="spellEnd"/>
      <w:r>
        <w:rPr>
          <w:b/>
          <w:bCs/>
        </w:rPr>
        <w:t xml:space="preserve">: </w:t>
      </w:r>
      <w:r>
        <w:t xml:space="preserve">disminución del 15% al 20% en las </w:t>
      </w:r>
      <w:proofErr w:type="spellStart"/>
      <w:r>
        <w:t>rehospitalizaciones</w:t>
      </w:r>
      <w:proofErr w:type="spellEnd"/>
      <w:r>
        <w:t xml:space="preserve"> a 30 días.</w:t>
      </w:r>
    </w:p>
    <w:p w14:paraId="0706CF16" w14:textId="77777777" w:rsidR="000625F0" w:rsidRDefault="00CB61E6">
      <w:pPr>
        <w:pStyle w:val="Ttulo3"/>
        <w:spacing w:before="250" w:after="120"/>
      </w:pPr>
      <w:r>
        <w:rPr>
          <w:b/>
          <w:bCs/>
        </w:rPr>
        <w:t>Alineación con la Estrategia Nacional de Salud al 2030 (MINSAL):</w:t>
      </w:r>
    </w:p>
    <w:p w14:paraId="0706CF17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Contribuye a superar la meta del 80% de cobertura efectiva de HTA en APS (frente al 38,2% actual).</w:t>
      </w:r>
    </w:p>
    <w:p w14:paraId="0706CF18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Ayuda a bajar la tasa de hospitalizaciones por HTA a la meta país de 12,4 por 100.000 habitantes.</w:t>
      </w:r>
    </w:p>
    <w:p w14:paraId="0706CF19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Apoya la disminución de la mortalidad por ACV a niveles inferiores a 29,6 por 100.000 habitantes.</w:t>
      </w:r>
    </w:p>
    <w:p w14:paraId="0706CF1A" w14:textId="77777777" w:rsidR="000625F0" w:rsidRDefault="00CB61E6">
      <w:pPr>
        <w:pStyle w:val="Ttulo2"/>
        <w:spacing w:before="300" w:after="150"/>
      </w:pPr>
      <w:r>
        <w:rPr>
          <w:b/>
          <w:bCs/>
        </w:rPr>
        <w:t>C. Retorno Financiero y Eficiencia Sanitaria</w:t>
      </w:r>
    </w:p>
    <w:p w14:paraId="0706CF1B" w14:textId="77777777" w:rsidR="000625F0" w:rsidRDefault="00CB61E6">
      <w:pPr>
        <w:spacing w:after="160"/>
      </w:pPr>
      <w:r>
        <w:rPr>
          <w:b/>
          <w:bCs/>
        </w:rPr>
        <w:t xml:space="preserve">Costo por Evento Evitado: </w:t>
      </w:r>
      <w:r>
        <w:t>un evento cerebrovascular o una amputación por pie diabético avanzado le representa al sistema público de salud (Fonasa/GES) un gasto directo de entre 5 y 12 millones de pesos por paciente (considerando días cama UCI/UTI, intervenciones y rehabilitación).</w:t>
      </w:r>
    </w:p>
    <w:p w14:paraId="0706CF1C" w14:textId="77777777" w:rsidR="000625F0" w:rsidRDefault="00CB61E6">
      <w:pPr>
        <w:spacing w:after="160"/>
      </w:pPr>
      <w:r>
        <w:rPr>
          <w:b/>
          <w:bCs/>
        </w:rPr>
        <w:t xml:space="preserve">Costo de Intervención: </w:t>
      </w:r>
      <w:r>
        <w:t xml:space="preserve">el costo anual de acompañamiento remoto vía </w:t>
      </w:r>
      <w:proofErr w:type="spellStart"/>
      <w:r>
        <w:t>PreventIA</w:t>
      </w:r>
      <w:proofErr w:type="spellEnd"/>
      <w:r>
        <w:t xml:space="preserve"> equivale a una fracción marginal del costo de un solo evento MACE, permitiendo que la prevención en 100 pacientes sea financiada al evitar un único reingreso grave.</w:t>
      </w:r>
    </w:p>
    <w:p w14:paraId="0706CF1D" w14:textId="77777777" w:rsidR="000625F0" w:rsidRDefault="00CB61E6">
      <w:pPr>
        <w:pStyle w:val="Ttulo1"/>
        <w:spacing w:before="400" w:after="200"/>
      </w:pPr>
      <w:r>
        <w:rPr>
          <w:b/>
          <w:bCs/>
        </w:rPr>
        <w:t>6. Gobernanza Ética, Seguridad y Modelo de Datos</w:t>
      </w:r>
    </w:p>
    <w:p w14:paraId="0706CF1E" w14:textId="77777777" w:rsidR="000625F0" w:rsidRDefault="00CB61E6">
      <w:pPr>
        <w:pStyle w:val="Ttulo2"/>
        <w:spacing w:before="300" w:after="150"/>
      </w:pPr>
      <w:r>
        <w:rPr>
          <w:b/>
          <w:bCs/>
        </w:rPr>
        <w:t>A. Principios de Seguridad del Software (No Negociables)</w:t>
      </w:r>
    </w:p>
    <w:p w14:paraId="0706CF1F" w14:textId="77777777" w:rsidR="000625F0" w:rsidRDefault="00CB61E6">
      <w:pPr>
        <w:spacing w:after="160"/>
      </w:pPr>
      <w:r>
        <w:rPr>
          <w:b/>
          <w:bCs/>
        </w:rPr>
        <w:t xml:space="preserve">Sin Función Diagnóstica: </w:t>
      </w:r>
      <w:r>
        <w:t>el agente no emite diagnósticos médicos ni modifica esquemas de prescripción o dosis.</w:t>
      </w:r>
    </w:p>
    <w:p w14:paraId="0706CF20" w14:textId="77777777" w:rsidR="000625F0" w:rsidRDefault="00CB61E6">
      <w:pPr>
        <w:spacing w:after="160"/>
      </w:pPr>
      <w:r>
        <w:rPr>
          <w:b/>
          <w:bCs/>
        </w:rPr>
        <w:t xml:space="preserve">Protocolo de Crisis Mente/Salud: </w:t>
      </w:r>
      <w:r>
        <w:t xml:space="preserve">la detección de palabras clave sobre ideación suicida o autolesión desvía de forma inmediata la interacción a un protocolo de emergencia con contacto humano, quedando fuera del </w:t>
      </w:r>
      <w:proofErr w:type="spellStart"/>
      <w:r>
        <w:t>triaje</w:t>
      </w:r>
      <w:proofErr w:type="spellEnd"/>
      <w:r>
        <w:t xml:space="preserve"> estandarizado de hipertensión o diabetes.</w:t>
      </w:r>
    </w:p>
    <w:p w14:paraId="0706CF21" w14:textId="77777777" w:rsidR="000625F0" w:rsidRDefault="00CB61E6">
      <w:pPr>
        <w:spacing w:after="160"/>
      </w:pPr>
      <w:r>
        <w:rPr>
          <w:b/>
          <w:bCs/>
        </w:rPr>
        <w:t xml:space="preserve">Anonimización de Datos: </w:t>
      </w:r>
      <w:r>
        <w:t xml:space="preserve">la base de datos del prototipo emplea identificadores </w:t>
      </w:r>
      <w:proofErr w:type="spellStart"/>
      <w:r>
        <w:t>hasheados</w:t>
      </w:r>
      <w:proofErr w:type="spellEnd"/>
      <w:r>
        <w:t xml:space="preserve"> sin guardar números de RUT o datos identificatorios en texto plano.</w:t>
      </w:r>
    </w:p>
    <w:p w14:paraId="0706CF22" w14:textId="77777777" w:rsidR="000625F0" w:rsidRDefault="00CB61E6">
      <w:pPr>
        <w:spacing w:after="160"/>
      </w:pPr>
      <w:r>
        <w:rPr>
          <w:b/>
          <w:bCs/>
        </w:rPr>
        <w:t xml:space="preserve">Transparencia Algorítmica: </w:t>
      </w:r>
      <w:r>
        <w:t>la interfaz especifica expresamente que la interacción es realizada por un asistente virtual y no por un profesional humano.</w:t>
      </w:r>
    </w:p>
    <w:p w14:paraId="0706CF23" w14:textId="77777777" w:rsidR="000625F0" w:rsidRDefault="00CB61E6">
      <w:pPr>
        <w:pStyle w:val="Ttulo2"/>
        <w:spacing w:before="300" w:after="150"/>
      </w:pPr>
      <w:r>
        <w:rPr>
          <w:b/>
          <w:bCs/>
        </w:rPr>
        <w:t>B. Esquema de Datos Relacional. Referencias Documentales y Normativas</w:t>
      </w:r>
    </w:p>
    <w:p w14:paraId="0706CF24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Biblioteca del Congreso Nacional (BCN). (</w:t>
      </w:r>
      <w:proofErr w:type="gramStart"/>
      <w:r>
        <w:t>Enero</w:t>
      </w:r>
      <w:proofErr w:type="gramEnd"/>
      <w:r>
        <w:t xml:space="preserve"> 2024). Caracterización de los Adultos Mayores en Fonasa e Isapre según CASEN 2022. Informe de Asesoría Técnica Parlamentaria.</w:t>
      </w:r>
    </w:p>
    <w:p w14:paraId="0706CF25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Instituto Nacional de Estadísticas (INE). (2024). Resultados Definitivos Censo de Población y Vivienda 2024: Indicadores de Envejecimiento Poblacional en Chile.</w:t>
      </w:r>
    </w:p>
    <w:p w14:paraId="0706CF26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Ministerio de Salud de Chile (MINSAL). (2021). Marco Operativo para la Estrategia de Cuidado Integral Centrado en la Persona (ECICEP) en la Atención Primaria de Salud.</w:t>
      </w:r>
    </w:p>
    <w:p w14:paraId="0706CF27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MINSAL / OPS. (2024). Vía Clínica HEARTS-Chile para el Manejo de Riesgo Cardiovascular en Atención Primaria.</w:t>
      </w:r>
    </w:p>
    <w:p w14:paraId="0706CF28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MINSAL. (2024). Estrategia Nacional de Salud al 2030: Evaluación de Indicadores de Control Cardiovascular e Impacto Sanitario (REM P4).</w:t>
      </w:r>
    </w:p>
    <w:p w14:paraId="0706CF29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t>Observatorio del Envejecimiento UC-</w:t>
      </w:r>
      <w:proofErr w:type="spellStart"/>
      <w:r>
        <w:t>Confuturo</w:t>
      </w:r>
      <w:proofErr w:type="spellEnd"/>
      <w:r>
        <w:t>. (2023). Uso de Tecnologías de la Información y Comunicación en Personas Mayores en Chile.</w:t>
      </w:r>
    </w:p>
    <w:p w14:paraId="0706CF2A" w14:textId="77777777" w:rsidR="000625F0" w:rsidRPr="00842117" w:rsidRDefault="00CB61E6">
      <w:pPr>
        <w:pStyle w:val="Prrafodelista"/>
        <w:numPr>
          <w:ilvl w:val="0"/>
          <w:numId w:val="1"/>
        </w:numPr>
        <w:spacing w:after="100"/>
        <w:rPr>
          <w:lang w:val="en-US"/>
        </w:rPr>
      </w:pPr>
      <w:r w:rsidRPr="00842117">
        <w:rPr>
          <w:lang w:val="en-US"/>
        </w:rPr>
        <w:t>Pew Research Center. (2022). Older Adults and Technology Use: Adoption Trends and Assistance Needs.</w:t>
      </w:r>
    </w:p>
    <w:p w14:paraId="0706CF2B" w14:textId="77777777" w:rsidR="000625F0" w:rsidRDefault="00CB61E6">
      <w:pPr>
        <w:pStyle w:val="Prrafodelista"/>
        <w:numPr>
          <w:ilvl w:val="0"/>
          <w:numId w:val="1"/>
        </w:numPr>
        <w:spacing w:after="100"/>
      </w:pPr>
      <w:r>
        <w:lastRenderedPageBreak/>
        <w:t>SENAMA. (2023). Estudio de Usabilidad e Inclusión Digital en Personas Mayores en Chile.</w:t>
      </w:r>
    </w:p>
    <w:sectPr w:rsidR="000625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63B6"/>
    <w:multiLevelType w:val="hybridMultilevel"/>
    <w:tmpl w:val="5F083A40"/>
    <w:lvl w:ilvl="0" w:tplc="341A41C4">
      <w:start w:val="1"/>
      <w:numFmt w:val="bullet"/>
      <w:lvlText w:val="●"/>
      <w:lvlJc w:val="left"/>
      <w:pPr>
        <w:ind w:left="720" w:hanging="360"/>
      </w:pPr>
    </w:lvl>
    <w:lvl w:ilvl="1" w:tplc="8A9AAC80">
      <w:start w:val="1"/>
      <w:numFmt w:val="bullet"/>
      <w:lvlText w:val="○"/>
      <w:lvlJc w:val="left"/>
      <w:pPr>
        <w:ind w:left="1440" w:hanging="360"/>
      </w:pPr>
    </w:lvl>
    <w:lvl w:ilvl="2" w:tplc="47501852">
      <w:start w:val="1"/>
      <w:numFmt w:val="bullet"/>
      <w:lvlText w:val="■"/>
      <w:lvlJc w:val="left"/>
      <w:pPr>
        <w:ind w:left="2160" w:hanging="360"/>
      </w:pPr>
    </w:lvl>
    <w:lvl w:ilvl="3" w:tplc="5D68B288">
      <w:start w:val="1"/>
      <w:numFmt w:val="bullet"/>
      <w:lvlText w:val="●"/>
      <w:lvlJc w:val="left"/>
      <w:pPr>
        <w:ind w:left="2880" w:hanging="360"/>
      </w:pPr>
    </w:lvl>
    <w:lvl w:ilvl="4" w:tplc="BB94D664">
      <w:start w:val="1"/>
      <w:numFmt w:val="bullet"/>
      <w:lvlText w:val="○"/>
      <w:lvlJc w:val="left"/>
      <w:pPr>
        <w:ind w:left="3600" w:hanging="360"/>
      </w:pPr>
    </w:lvl>
    <w:lvl w:ilvl="5" w:tplc="6B5AB594">
      <w:start w:val="1"/>
      <w:numFmt w:val="bullet"/>
      <w:lvlText w:val="■"/>
      <w:lvlJc w:val="left"/>
      <w:pPr>
        <w:ind w:left="4320" w:hanging="360"/>
      </w:pPr>
    </w:lvl>
    <w:lvl w:ilvl="6" w:tplc="8E2A4BF4">
      <w:start w:val="1"/>
      <w:numFmt w:val="bullet"/>
      <w:lvlText w:val="●"/>
      <w:lvlJc w:val="left"/>
      <w:pPr>
        <w:ind w:left="5040" w:hanging="360"/>
      </w:pPr>
    </w:lvl>
    <w:lvl w:ilvl="7" w:tplc="32FE9278">
      <w:start w:val="1"/>
      <w:numFmt w:val="bullet"/>
      <w:lvlText w:val="●"/>
      <w:lvlJc w:val="left"/>
      <w:pPr>
        <w:ind w:left="5760" w:hanging="360"/>
      </w:pPr>
    </w:lvl>
    <w:lvl w:ilvl="8" w:tplc="75B068B6">
      <w:start w:val="1"/>
      <w:numFmt w:val="bullet"/>
      <w:lvlText w:val="●"/>
      <w:lvlJc w:val="left"/>
      <w:pPr>
        <w:ind w:left="6480" w:hanging="360"/>
      </w:pPr>
    </w:lvl>
  </w:abstractNum>
  <w:num w:numId="1" w16cid:durableId="1717586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F0"/>
    <w:rsid w:val="000625F0"/>
    <w:rsid w:val="00842117"/>
    <w:rsid w:val="009D6549"/>
    <w:rsid w:val="00CB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CEEE"/>
  <w15:docId w15:val="{19FB1FD5-FB50-46D9-AD0F-766E30AC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1304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Pamela Quinteros</cp:lastModifiedBy>
  <cp:revision>2</cp:revision>
  <dcterms:created xsi:type="dcterms:W3CDTF">2026-08-05T20:52:00Z</dcterms:created>
  <dcterms:modified xsi:type="dcterms:W3CDTF">2026-08-05T21:00:00Z</dcterms:modified>
</cp:coreProperties>
</file>