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0kmmol0jdi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3.5 Parámetros clínicos y semaforización del dashboard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c0ouvy5fe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Propuesta base (a validar y ajustar por el médico tratante — ver mecanismo de reglas personalizadas más abajo), construida sobre guías ESC 2024 (HTA) y ADA 2024-2026 (diabetes).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94kq7lgtk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🔴 ROJO — Urgencia / Derivación inmediata a Servicio de Urgencia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.214465017486"/>
        <w:gridCol w:w="6925.297346006137"/>
        <w:tblGridChange w:id="0">
          <w:tblGrid>
            <w:gridCol w:w="2100.214465017486"/>
            <w:gridCol w:w="6925.29734600613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Style w:val="Heading3"/>
              <w:keepNext w:val="0"/>
              <w:keepLines w:val="0"/>
              <w:spacing w:before="28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3kc0ouvy5feo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Parámetro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Style w:val="Heading3"/>
              <w:keepNext w:val="0"/>
              <w:keepLines w:val="0"/>
              <w:spacing w:before="28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3kc0ouvy5feo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Umbral por defecto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3kc0ouvy5feo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Presión arterial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3kc0ouvy5feo" w:id="1"/>
            <w:bookmarkEnd w:id="1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PAS ≥180 mmHg y/o PAD ≥110-120 mmHg, cantidad de veces determina el médico (dias seguidos o dias al mes)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3kc0ouvy5feo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PA elevada + síntomas de alarma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3kc0ouvy5feo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Cualquier PA elevada + dolor torácico, disnea, o síntomas neurológicos (confusión, debilidad de un lado, dificultad para hablar, alteración visual súbita)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3kc0ouvy5feo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Glicemia baja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3kc0ouvy5feo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&lt;70 mg/dL con síntomas, o cualquier valor &lt;54 mg/dL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3kc0ouvy5feo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Glicemia 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3kc0ouvy5feo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indica el médico el valor para generar alerta roja o frecuencia de este sintoma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3kc0ouvy5feo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Ideación suicida / autolesión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3kc0ouvy5feo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Cualquier mención — protocolo de crisis separado, no solo derivación médica</w:t>
            </w:r>
          </w:p>
        </w:tc>
      </w:tr>
    </w:tbl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lh66hck1n79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vswxpm5j7w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lq1hz945cg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zdwfw8usm8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mv3jptlyy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🟡 AMARILLO — Dar hora pronto (días, no urgente)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7.1494346585428"/>
        <w:gridCol w:w="6438.36237636508"/>
        <w:tblGridChange w:id="0">
          <w:tblGrid>
            <w:gridCol w:w="2587.1494346585428"/>
            <w:gridCol w:w="6438.3623763650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Style w:val="Heading3"/>
              <w:keepNext w:val="0"/>
              <w:keepLines w:val="0"/>
              <w:spacing w:before="28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3kc0ouvy5feo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Parámetro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Style w:val="Heading3"/>
              <w:keepNext w:val="0"/>
              <w:keepLines w:val="0"/>
              <w:spacing w:before="28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3kc0ouvy5feo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Umbral por defecto</w:t>
            </w:r>
          </w:p>
        </w:tc>
      </w:tr>
      <w:tr>
        <w:trPr>
          <w:cantSplit w:val="0"/>
          <w:trHeight w:val="2081.46240234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3kc0ouvy5feo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Presión arterial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3kc0ouvy5feo" w:id="1"/>
            <w:bookmarkEnd w:id="1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PAS 160-179 y/o PAD 100-109 (HTA Grado 2), o ≥180/110 sin síntomas ni daño de órgano, medico indica dias seguidos o días del mes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3kc0ouvy5feo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Glicemia sostenida fuera de meta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3kc0ouvy5feo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Medico indica dias seguidos o días del mes y valores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3kc0ouvy5feo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No adherencia reportada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3kc0ouvy5feo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3+ olvidos en 2 semanas (Casillas sin check)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3kc0ouvy5feo" w:id="1"/>
            <w:bookmarkEnd w:id="1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3kc0ouvy5feo" w:id="1"/>
            <w:bookmarkEnd w:id="1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3kc0ouvy5feo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Sin respuesta del paciente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3kc0ouvy5feo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3 check-ins consecutivos sin contestar, debe ser contactado desde el agente.</w:t>
            </w:r>
          </w:p>
        </w:tc>
      </w:tr>
    </w:tbl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vv46fcz95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VERDE — Compensado, mantener contacto de rutina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8.5238902357914"/>
        <w:gridCol w:w="7426.987920787832"/>
        <w:tblGridChange w:id="0">
          <w:tblGrid>
            <w:gridCol w:w="1598.5238902357914"/>
            <w:gridCol w:w="7426.98792078783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Style w:val="Heading3"/>
              <w:keepNext w:val="0"/>
              <w:keepLines w:val="0"/>
              <w:spacing w:before="28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3kc0ouvy5feo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Parámetro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Style w:val="Heading3"/>
              <w:keepNext w:val="0"/>
              <w:keepLines w:val="0"/>
              <w:spacing w:before="28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3kc0ouvy5feo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Umbral por defecto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3kc0ouvy5feo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Presión arterial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3kc0ouvy5feo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&lt;140/90 (meta general) o &lt;130/80 si hay DM2/ERC/ECV asociada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3kc0ouvy5feo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Glicemia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3kc0ouvy5feo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Ayuno 80-130 mg/dL, o dentro de la meta individualizada que fije el médico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3kc0ouvy5feo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HbA1c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3kc0ouvy5feo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&lt;7% en general;  &lt;7,5-8% en adultos mayores frágiles (criterio médico)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3kc0ouvy5feo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Adherencia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kj5yaan5mudn" w:id="9"/>
            <w:bookmarkEnd w:id="9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Reportada consistentemente, sin alertas amarillas recientes</w:t>
            </w:r>
          </w:p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Style w:val="Heading3"/>
              <w:keepNext w:val="0"/>
              <w:keepLines w:val="0"/>
              <w:spacing w:before="280" w:lin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l5hcqy1ngf4" w:id="10"/>
            <w:bookmarkEnd w:id="10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Signos y síntomas de alarma (lenguaje coloquial del paciente)</w:t>
            </w:r>
          </w:p>
          <w:p w:rsidR="00000000" w:rsidDel="00000000" w:rsidP="00000000" w:rsidRDefault="00000000" w:rsidRPr="00000000" w14:paraId="00000030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paciente no va a describir síntomas en términos clínicos — va a escribir en lenguaje cotidiano. El agente debe detectar por palabras clave y frases equivalentes, no solo por términos médicos exactos.</w:t>
            </w:r>
          </w:p>
          <w:p w:rsidR="00000000" w:rsidDel="00000000" w:rsidP="00000000" w:rsidRDefault="00000000" w:rsidRPr="00000000" w14:paraId="00000031">
            <w:pPr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🔴 Síntomas — ROJO (derivación urgente a telemedicina/ activar protocolo de emergencia)</w:t>
            </w:r>
          </w:p>
          <w:tbl>
            <w:tblPr>
              <w:tblStyle w:val="Table4"/>
              <w:tblW w:w="721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967.267029972752"/>
              <w:gridCol w:w="3247.732970027248"/>
              <w:tblGridChange w:id="0">
                <w:tblGrid>
                  <w:gridCol w:w="3967.267029972752"/>
                  <w:gridCol w:w="3247.732970027248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Lo que el paciente podría escribir (agregar escala 1 al 10)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Qué indica clínicamente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"Dolor en el pecho", "opresión en el pecho", "peso en el pecho"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Posible síndrome coronario agudo</w:t>
                  </w:r>
                </w:p>
              </w:tc>
            </w:tr>
            <w:tr>
              <w:trPr>
                <w:cantSplit w:val="0"/>
                <w:trHeight w:val="7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"Me falta el aire", "no puedo respirar bien", "ahogo"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Posible insuficiencia cardíaca aguda / edema pulmonar</w:t>
                  </w:r>
                </w:p>
              </w:tc>
            </w:tr>
            <w:tr>
              <w:trPr>
                <w:cantSplit w:val="0"/>
                <w:trHeight w:val="7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"Se me durmió la cara/brazo/pierna", "hormigueo de un solo lado"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Posible ACV — déficit sensitivo focal</w:t>
                  </w:r>
                </w:p>
              </w:tc>
            </w:tr>
            <w:tr>
              <w:trPr>
                <w:cantSplit w:val="0"/>
                <w:trHeight w:val="7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"No puedo mover el brazo/pierna", "se me cayó la cara"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Posible ACV — déficit motor focal</w:t>
                  </w:r>
                </w:p>
              </w:tc>
            </w:tr>
            <w:tr>
              <w:trPr>
                <w:cantSplit w:val="0"/>
                <w:trHeight w:val="7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"Se me traba la lengua", "no puedo hablar bien", "hablo raro"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Posible ACV — disartria</w:t>
                  </w:r>
                </w:p>
              </w:tc>
            </w:tr>
            <w:tr>
              <w:trPr>
                <w:cantSplit w:val="0"/>
                <w:trHeight w:val="7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"Veo doble", "perdí la vista de un ojo", "veo borroso de repente"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Posible ACV — alteración visual súbita</w:t>
                  </w:r>
                </w:p>
              </w:tc>
            </w:tr>
            <w:tr>
              <w:trPr>
                <w:cantSplit w:val="0"/>
                <w:trHeight w:val="7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"Estoy muy confundido/a", "no sé dónde estoy" (o reporte de un familiar)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Posible encefalopatía hipertensiva o hipoglicemia severa</w:t>
                  </w:r>
                </w:p>
              </w:tc>
            </w:tr>
            <w:tr>
              <w:trPr>
                <w:cantSplit w:val="0"/>
                <w:trHeight w:val="7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"Dolor de cabeza muy fuerte, como nunca antes", "el peor dolor de cabeza de mi vida"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Posible emergencia hipertensiva / hemorragia</w:t>
                  </w:r>
                </w:p>
              </w:tc>
            </w:tr>
            <w:tr>
              <w:trPr>
                <w:cantSplit w:val="0"/>
                <w:trHeight w:val="7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"Dolor de espalda entre los omóplatos, muy fuerte y repentino"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Posible disección aórtica</w:t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"Me desmayé", "perdí el conocimiento"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Múltiples causas graves — siempre rojo</w:t>
                  </w:r>
                </w:p>
              </w:tc>
            </w:tr>
            <w:tr>
              <w:trPr>
                <w:cantSplit w:val="0"/>
                <w:trHeight w:val="7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"Estoy temblando mucho, sudando frío, y me siento muy mal" (paciente diabético)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Posible hipoglicemia severa</w:t>
                  </w:r>
                </w:p>
              </w:tc>
            </w:tr>
            <w:tr>
              <w:trPr>
                <w:cantSplit w:val="0"/>
                <w:trHeight w:val="7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"Tengo mucha sed, orino todo el tiempo, y me siento muy débil/confundido"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Posible crisis hiperglucémica (cetoacidosis/estado hiperosmolar)</w:t>
                  </w:r>
                </w:p>
              </w:tc>
            </w:tr>
            <w:tr>
              <w:trPr>
                <w:cantSplit w:val="0"/>
                <w:trHeight w:val="7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Cualquier mención de querer hacerse daño o no querer seguir viviendo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Protocolo de crisis separado — nunca solo "rojo médico"</w:t>
                  </w:r>
                </w:p>
              </w:tc>
            </w:tr>
          </w:tbl>
          <w:p w:rsidR="00000000" w:rsidDel="00000000" w:rsidP="00000000" w:rsidRDefault="00000000" w:rsidRPr="00000000" w14:paraId="0000004E">
            <w:pPr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🟡 Síntomas — AMARILLO (dar hora pronto, no urgente)</w:t>
            </w:r>
          </w:p>
          <w:tbl>
            <w:tblPr>
              <w:tblStyle w:val="Table5"/>
              <w:tblW w:w="721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530.828337874659"/>
              <w:gridCol w:w="3684.1716621253404"/>
              <w:tblGridChange w:id="0">
                <w:tblGrid>
                  <w:gridCol w:w="3530.828337874659"/>
                  <w:gridCol w:w="3684.1716621253404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Lo que el paciente podría escribir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Qué indica clínicamente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"Mareo", "sensación de vahído" (sin desmayo ni síntomas neurológicos)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Puede ser PA descompensada, hipotensión postural, o efecto de medicamento</w:t>
                  </w:r>
                </w:p>
              </w:tc>
            </w:tr>
            <w:tr>
              <w:trPr>
                <w:cantSplit w:val="0"/>
                <w:trHeight w:val="7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"Dolor de cabeza" (leve-moderado, no "el peor de mi vida")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Puede asociarse a PA elevada, o causas benignas</w:t>
                  </w:r>
                </w:p>
              </w:tc>
            </w:tr>
            <w:tr>
              <w:trPr>
                <w:cantSplit w:val="0"/>
                <w:trHeight w:val="7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"Hinchazón en las piernas/tobillos"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Posible retención de líquido, evaluar función cardíaca/renal</w:t>
                  </w:r>
                </w:p>
              </w:tc>
            </w:tr>
            <w:tr>
              <w:trPr>
                <w:cantSplit w:val="0"/>
                <w:trHeight w:val="7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"Náuseas", "poco apetito"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Inespecífico, puede asociarse a descompensación metabólica leve</w:t>
                  </w:r>
                </w:p>
              </w:tc>
            </w:tr>
            <w:tr>
              <w:trPr>
                <w:cantSplit w:val="0"/>
                <w:trHeight w:val="7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"Cansancio inusual", "más cansado que de costumbre"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Signo inespecífico pero relevante en diabetes/HTA mal controlada</w:t>
                  </w:r>
                </w:p>
              </w:tc>
            </w:tr>
            <w:tr>
              <w:trPr>
                <w:cantSplit w:val="0"/>
                <w:trHeight w:val="7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"Se me ha estado durmiendo el pie" (crónico, gradual, no súbito)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Posible neuropatía diabética</w:t>
                  </w:r>
                </w:p>
              </w:tc>
            </w:tr>
            <w:tr>
              <w:trPr>
                <w:cantSplit w:val="0"/>
                <w:trHeight w:val="7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"Herida que no cicatriza", "una llaga en el pie"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Riesgo de pie diabético — evaluación pronta</w:t>
                  </w:r>
                </w:p>
              </w:tc>
            </w:tr>
            <w:tr>
              <w:trPr>
                <w:cantSplit w:val="0"/>
                <w:trHeight w:val="7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"Orino más de lo normal" (sin otros síntomas agudos)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Posible hiperglicemia no controlada</w:t>
                  </w:r>
                </w:p>
              </w:tc>
            </w:tr>
            <w:tr>
              <w:trPr>
                <w:cantSplit w:val="0"/>
                <w:trHeight w:val="7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"Me palpita el corazón", "corazón acelerado" (sin dolor torácico ni disnea)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Requiere evaluación, sin criterio de emergencia claro</w:t>
                  </w:r>
                </w:p>
              </w:tc>
            </w:tr>
          </w:tbl>
          <w:p w:rsidR="00000000" w:rsidDel="00000000" w:rsidP="00000000" w:rsidRDefault="00000000" w:rsidRPr="00000000" w14:paraId="00000063">
            <w:pPr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 de diseño clave:</w:t>
            </w:r>
            <w:r w:rsidDel="00000000" w:rsidR="00000000" w:rsidRPr="00000000">
              <w:rPr>
                <w:rtl w:val="0"/>
              </w:rPr>
              <w:t xml:space="preserve"> la diferencia entre rojo y amarillo casi siempre es si el síntoma 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súbito/focal/severo</w:t>
            </w:r>
            <w:r w:rsidDel="00000000" w:rsidR="00000000" w:rsidRPr="00000000">
              <w:rPr>
                <w:rtl w:val="0"/>
              </w:rPr>
              <w:t xml:space="preserve"> (rojo) versus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gradual/leve/inespecífico</w:t>
            </w:r>
            <w:r w:rsidDel="00000000" w:rsidR="00000000" w:rsidRPr="00000000">
              <w:rPr>
                <w:rtl w:val="0"/>
              </w:rPr>
              <w:t xml:space="preserve"> (amarillo). El agente no debe evaluar síntomas de forma aislada: si detecta 2+ síntomas de la lista roja juntos, o un síntoma amarillo combinado con uno rojo, debe escalar a rojo — regla de "el síntoma más grave manda".</w:t>
            </w:r>
          </w:p>
          <w:p w:rsidR="00000000" w:rsidDel="00000000" w:rsidP="00000000" w:rsidRDefault="00000000" w:rsidRPr="00000000" w14:paraId="000000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c0ouvy5feo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xt0z2x7zz5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05tcg6didx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us7a512r2a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Población objetivo → Encaje con HEARTS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protocolo aplica a HTA sola, HTA+DM, HTA+ERC, HTA+ECV — tu foco en diabéticos e hipertensos 65-75 cubre exactamente los 3 escenarios de meta de presión que define el documento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 diferenciada según comorbilidad</w:t>
      </w:r>
      <w:r w:rsidDel="00000000" w:rsidR="00000000" w:rsidRPr="00000000">
        <w:rPr>
          <w:rtl w:val="0"/>
        </w:rPr>
        <w:t xml:space="preserve"> (esto el agente debería saber distinguir):</w:t>
      </w:r>
    </w:p>
    <w:p w:rsidR="00000000" w:rsidDel="00000000" w:rsidP="00000000" w:rsidRDefault="00000000" w:rsidRPr="00000000" w14:paraId="0000006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Solo HTA: PA sistólica &lt;140 / diastólica &lt;90</w:t>
      </w:r>
    </w:p>
    <w:p w:rsidR="00000000" w:rsidDel="00000000" w:rsidP="00000000" w:rsidRDefault="00000000" w:rsidRPr="00000000" w14:paraId="0000006C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HTA + DM o HTA + ERC o HTA + ECV: meta más estricta, &lt;130/80</w:t>
      </w:r>
    </w:p>
    <w:p w:rsidR="00000000" w:rsidDel="00000000" w:rsidP="00000000" w:rsidRDefault="00000000" w:rsidRPr="00000000" w14:paraId="0000006D">
      <w:pPr>
        <w:spacing w:after="240" w:before="240" w:lineRule="auto"/>
        <w:ind w:left="0" w:firstLine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https://www.paho.org/es/documentos/clinica-chile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87ptdkkyks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Monitoreo vía WhatsApp → Puntos de control HEARTS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97.109056190865"/>
        <w:gridCol w:w="5228.402754832759"/>
        <w:tblGridChange w:id="0">
          <w:tblGrid>
            <w:gridCol w:w="3797.109056190865"/>
            <w:gridCol w:w="5228.40275483275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Función del agente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Anclaje clínico HEARTS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Recordatorio de toma de medicamento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Protocolo recomienda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agrupar la medicación en una sola toma diaria</w:t>
            </w:r>
            <w:r w:rsidDel="00000000" w:rsidR="00000000" w:rsidRPr="00000000">
              <w:rPr>
                <w:rtl w:val="0"/>
              </w:rPr>
              <w:t xml:space="preserve"> — el agente puede reforzar horario único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Preguntas de adherencia periódicas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El protocolo exige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evaluar adherencia en cada visita</w:t>
            </w:r>
            <w:r w:rsidDel="00000000" w:rsidR="00000000" w:rsidRPr="00000000">
              <w:rPr>
                <w:rtl w:val="0"/>
              </w:rPr>
              <w:t xml:space="preserve">; el agente extiende esa evaluación entre visitas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Alerta de resurtido antes de fin de mes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Protocolo indica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suministro para 3 meses</w:t>
            </w:r>
            <w:r w:rsidDel="00000000" w:rsidR="00000000" w:rsidRPr="00000000">
              <w:rPr>
                <w:rtl w:val="0"/>
              </w:rPr>
              <w:t xml:space="preserve"> — el agente puede avisar 1-2 semanas antes del vencimiento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Registro de presión arterial autoreportada (si el paciente tiene tensiómetro)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El protocolo pide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medición en cada consulta</w:t>
            </w:r>
            <w:r w:rsidDel="00000000" w:rsidR="00000000" w:rsidRPr="00000000">
              <w:rPr>
                <w:rtl w:val="0"/>
              </w:rPr>
              <w:t xml:space="preserve">; el agente puede capturar mediciones domiciliarias entre controles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Recordatorio de vacunas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Influenza (todo HTA), neumococo (65+, coincide 100% con tu población), COVID según riesgo</w:t>
            </w:r>
          </w:p>
        </w:tc>
      </w:tr>
    </w:tbl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w50vv9mxn9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Señales de alarma → Umbrales de derivación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deberían ser los triggers automáticos de tu agente para generar la "nueva hora":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 reportada ≥140/90 (o ≥130/80 si el paciente tiene DM/ERC/ECV) de forma persistente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de adherencia reportada (ej. "se me olvidó 3 días seguidos")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Síntomas de alarma que el protocolo asocia a descompensación (esto no está en este documento específico, pero en la guía ECICEP G3 mencionaba: hipertensión descompensada, más de 7 medicamentos diarios — buen cruce con tu población de riesgo alto)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de respuesta del paciente por X días (podría indicar abandono de control, que es justamente lo que ECICEP busca prevenir)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qzllntr399s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Frecuencia de seguimiento del agente → Frecuencia clínica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El protocolo define seguimiento </w:t>
      </w:r>
      <w:r w:rsidDel="00000000" w:rsidR="00000000" w:rsidRPr="00000000">
        <w:rPr>
          <w:b w:val="1"/>
          <w:bCs w:val="1"/>
          <w:rtl w:val="0"/>
        </w:rPr>
        <w:t xml:space="preserve">cada 3 meses (riesgo alto)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cada 6 meses (riesgo bajo-moderado)</w:t>
      </w:r>
      <w:r w:rsidDel="00000000" w:rsidR="00000000" w:rsidRPr="00000000">
        <w:rPr>
          <w:rtl w:val="0"/>
        </w:rPr>
        <w:t xml:space="preserve"> — tu agente podría ajustar la frecuencia de sus check-ins de WhatsApp según el nivel de riesgo cardiovascular del paciente (esto lo puedes cruzar con la estratificación ECICEP G1-G3 que ya vimos, dándole doble respaldo normativo: HEARTS + ECICEP)</w:t>
      </w:r>
    </w:p>
    <w:p w:rsidR="00000000" w:rsidDel="00000000" w:rsidP="00000000" w:rsidRDefault="00000000" w:rsidRPr="00000000" w14:paraId="0000008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paho.org/es/documentos/clinica-chil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