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Florin OSTAFI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functia_curs_realizare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Adrian BURLACU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13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1301B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Statistica si prelucrarea datelor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....A0-3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dataa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1301B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Alexandru C. Mihai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Antici I. Paul-Leonard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Bucan P. Radu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Bularda V.G. Iulian-Gabriel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Chiruta C. Cosmin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Chitac C. Alexandru-Constantin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Cront G. Andreea - Giorgiana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Grigorof I. Geanina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Macovei I. Roxana-Isabela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Nita S. Valentin-Adrian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Simina V. Denisa-Elena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Virlan V. Crina-Florentina (R.Moldova)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2023-05-25T15:20:41Z</dcterms:modified>
</cp:coreProperties>
</file>