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br/>
        <w:br/>
        <w:br/>
      </w:r>
      <w:r>
        <w:rPr>
          <w:b/>
          <w:sz w:val="24"/>
        </w:rPr>
        <w:t>Estación Ariguani - ARGC HL</w:t>
        <w:br/>
        <w:br/>
      </w:r>
    </w:p>
    <w:p>
      <w:r>
        <w:rPr>
          <w:b/>
        </w:rPr>
        <w:t xml:space="preserve">Departamento: </w:t>
      </w:r>
      <w:r>
        <w:t>Magdalena</w:t>
      </w:r>
      <w:r>
        <w:rPr>
          <w:b/>
        </w:rPr>
        <w:t xml:space="preserve">  |  Municipio: </w:t>
      </w:r>
      <w:r>
        <w:t>Ariguaní</w:t>
        <w:br/>
      </w:r>
      <w:r>
        <w:rPr>
          <w:b/>
        </w:rPr>
        <w:t xml:space="preserve">Coordenadas de la estación: </w:t>
      </w:r>
      <w:r>
        <w:t xml:space="preserve"> Lat. 9.858, Lon. -74.246</w:t>
        <w:br/>
      </w:r>
      <w:r>
        <w:rPr>
          <w:b/>
        </w:rPr>
        <w:t xml:space="preserve">Tipo de transmisión: </w:t>
      </w:r>
      <w:r>
        <w:t>Satelital</w:t>
      </w:r>
      <w:r>
        <w:rPr>
          <w:b/>
        </w:rPr>
        <w:t xml:space="preserve">  |  Tipo de adquisición: </w:t>
      </w:r>
      <w:r>
        <w:t>Tiempo Real</w:t>
        <w:br/>
      </w:r>
      <w:r>
        <w:rPr>
          <w:b/>
        </w:rPr>
        <w:t xml:space="preserve">Condición de instalación: </w:t>
      </w:r>
      <w:r>
        <w:t>Caseta</w:t>
      </w:r>
      <w:r>
        <w:rPr>
          <w:b/>
        </w:rPr>
        <w:t xml:space="preserve">  |  Tipo de estación: </w:t>
      </w:r>
      <w:r>
        <w:t>Permanente</w:t>
        <w:br/>
        <w:br/>
      </w:r>
      <w:r>
        <w:rPr>
          <w:b/>
        </w:rPr>
        <w:t xml:space="preserve">Sensor de movimiento fuerte - 40 </w:t>
      </w:r>
      <w:r>
        <w:br/>
      </w:r>
      <w:r>
        <w:rPr>
          <w:b/>
        </w:rPr>
        <w:t xml:space="preserve">Sensor y digitalizador: </w:t>
      </w:r>
      <w:r>
        <w:t>STS-2.5, 120s, 1500 V/m/s-Q330SR, gain 1, 100 sps,</w:t>
        <w:br/>
      </w:r>
      <w:r>
        <w:rPr>
          <w:b/>
        </w:rPr>
        <w:t xml:space="preserve">Fecha inicio: </w:t>
      </w:r>
      <w:r>
        <w:t>2015-08-26 23:30:00</w:t>
      </w:r>
      <w:r>
        <w:rPr>
          <w:b/>
        </w:rPr>
        <w:t xml:space="preserve">  |  Fecha fin: </w:t>
      </w:r>
      <w:r>
        <w:t>2599-12-31 23:59:59</w:t>
      </w:r>
    </w:p>
    <w:p>
      <w:pPr>
        <w:jc w:val="center"/>
      </w:pPr>
      <w:r>
        <w:br/>
        <w:br/>
      </w:r>
      <w:r>
        <w:rPr>
          <w:b/>
          <w:sz w:val="24"/>
        </w:rPr>
        <w:t>Estado actual</w:t>
      </w:r>
    </w:p>
    <w:p>
      <w:r>
        <w:rPr>
          <w:b/>
        </w:rPr>
        <w:t>Observación del Sismólogo</w:t>
        <w:br/>
        <w:br/>
      </w:r>
      <w:r>
        <w:t>En algunos periodos de tiempo como del 13 de noviembre al 27 de noviembre de 2023 y entre el 17 de diciembre de 2023 al 7 de enero del 2024 la estación salia por las noches con gaps de menos de 10 horas, se recomienda  un mantenimiento preventivo.</w:t>
        <w:br/>
        <w:br/>
      </w:r>
      <w:r>
        <w:rPr>
          <w:b/>
        </w:rPr>
        <w:t>Observación del Electrónico</w:t>
        <w:br/>
        <w:br/>
      </w:r>
      <w:r>
        <w:t xml:space="preserve"> </w:t>
        <w:br/>
        <w:br/>
      </w:r>
      <w:r>
        <w:rPr>
          <w:b/>
        </w:rPr>
        <w:t xml:space="preserve">Fecha del problema: </w:t>
      </w:r>
      <w:r>
        <w:t>2023-11-13</w:t>
        <w:br/>
        <w:br/>
      </w:r>
      <w:r>
        <w:rPr>
          <w:b/>
        </w:rPr>
        <w:t xml:space="preserve">Estado de disponibilidad: </w:t>
      </w:r>
      <w:r>
        <w:t>Intermitente</w:t>
        <w:br/>
        <w:br/>
      </w:r>
      <w:r>
        <w:rPr>
          <w:b/>
        </w:rPr>
        <w:t xml:space="preserve">Problema de sistema: </w:t>
      </w:r>
      <w:r>
        <w:t>Energía</w:t>
        <w:br/>
        <w:br/>
      </w:r>
      <w:r>
        <w:rPr>
          <w:b/>
          <w:sz w:val="24"/>
        </w:rPr>
        <w:t>1. Funcionamiento</w:t>
        <w:br/>
        <w:br/>
      </w:r>
      <w:r>
        <w:t xml:space="preserve"> </w:t>
        <w:br/>
        <w:br/>
      </w:r>
      <w:r>
        <w:rPr>
          <w:b/>
          <w:sz w:val="24"/>
        </w:rPr>
        <w:t>1.1 Disponibilidad</w:t>
        <w:br/>
        <w:br/>
      </w:r>
      <w:r>
        <w:t xml:space="preserve"> </w:t>
        <w:br/>
      </w:r>
    </w:p>
    <w:p>
      <w:r>
        <w:rPr>
          <w:b/>
        </w:rPr>
        <w:t>Comportamiento de disponibilidad en el semestre para las tres componentes</w:t>
        <w:br/>
        <w:br/>
      </w:r>
      <w:r>
        <w:t>Z    |    mínimo: 59.2%,    máximo: 100.0%,    promedio: 97.33%</w:t>
        <w:br/>
      </w:r>
      <w:r>
        <w:t>N    |    mínimo: 59.2%,    máximo: 100.0%,    promedio: 97.33%</w:t>
        <w:br/>
      </w:r>
      <w:r>
        <w:t>E    |    mínimo: 59.2%,    máximo: 100.0%,    promedio: 97.33%</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ARGC_HL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ARGC_HL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ARGC_HL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ARGC en sus tres componentes.</w:t>
        <w:br/>
        <w:br/>
      </w:r>
      <w:r>
        <w:rPr>
          <w:b/>
          <w:sz w:val="24"/>
        </w:rPr>
        <w:t>1.2 Gaps y Overlaps</w:t>
        <w:br/>
        <w:br/>
      </w:r>
      <w:r>
        <w:t xml:space="preserve"> </w:t>
        <w:br/>
        <w:br/>
      </w:r>
    </w:p>
    <w:p>
      <w:r>
        <w:br w:type="page"/>
      </w:r>
    </w:p>
    <w:p>
      <w:r>
        <w:rPr>
          <w:b/>
        </w:rPr>
        <w:t>Comportamiento de gaps y overlaps en el semestre para las tres componentes</w:t>
        <w:br/>
        <w:br/>
      </w:r>
      <w:r>
        <w:rPr>
          <w:b/>
        </w:rPr>
        <w:t>Gaps</w:t>
        <w:br/>
      </w:r>
      <w:r>
        <w:t>Z    |    número de gaps: 111,    máximo: 3,    promedio: 0.6</w:t>
        <w:br/>
      </w:r>
      <w:r>
        <w:t>N    |    número de gaps: 110,    máximo: 3,    promedio: 0.59</w:t>
        <w:br/>
      </w:r>
      <w:r>
        <w:t>E    |    número de gaps: 110,    máximo: 3,    promedio: 0.59</w:t>
        <w:br/>
        <w:br/>
      </w:r>
      <w:r>
        <w:rPr>
          <w:b/>
        </w:rPr>
        <w:t>Overlaps</w:t>
        <w:br/>
      </w:r>
      <w:r>
        <w:t>Z    |    número de overlaps: 49,    máximo: 5,    promedio: 0.26</w:t>
        <w:br/>
      </w:r>
      <w:r>
        <w:t>N    |    número de overlaps: 49,    máximo: 5,    promedio: 0.26</w:t>
        <w:br/>
      </w:r>
      <w:r>
        <w:t>E    |    número de overlaps: 49,    máximo: 5,    promedio: 0.26</w:t>
        <w:br/>
        <w:br/>
      </w:r>
      <w:r>
        <w:br/>
        <w:br/>
        <w:drawing>
          <wp:inline xmlns:a="http://schemas.openxmlformats.org/drawingml/2006/main" xmlns:pic="http://schemas.openxmlformats.org/drawingml/2006/picture">
            <wp:extent cx="5943600" cy="1468026"/>
            <wp:docPr id="4" name="Picture 4"/>
            <wp:cNvGraphicFramePr>
              <a:graphicFrameLocks noChangeAspect="1"/>
            </wp:cNvGraphicFramePr>
            <a:graphic>
              <a:graphicData uri="http://schemas.openxmlformats.org/drawingml/2006/picture">
                <pic:pic>
                  <pic:nvPicPr>
                    <pic:cNvPr id="0" name="gapover_ARGC_HLZ.png"/>
                    <pic:cNvPicPr/>
                  </pic:nvPicPr>
                  <pic:blipFill>
                    <a:blip r:embed="rId13"/>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5" name="Picture 5"/>
            <wp:cNvGraphicFramePr>
              <a:graphicFrameLocks noChangeAspect="1"/>
            </wp:cNvGraphicFramePr>
            <a:graphic>
              <a:graphicData uri="http://schemas.openxmlformats.org/drawingml/2006/picture">
                <pic:pic>
                  <pic:nvPicPr>
                    <pic:cNvPr id="0" name="gapover_ARGC_HLN.png"/>
                    <pic:cNvPicPr/>
                  </pic:nvPicPr>
                  <pic:blipFill>
                    <a:blip r:embed="rId14"/>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6" name="Picture 6"/>
            <wp:cNvGraphicFramePr>
              <a:graphicFrameLocks noChangeAspect="1"/>
            </wp:cNvGraphicFramePr>
            <a:graphic>
              <a:graphicData uri="http://schemas.openxmlformats.org/drawingml/2006/picture">
                <pic:pic>
                  <pic:nvPicPr>
                    <pic:cNvPr id="0" name="gapover_ARGC_HLE.png"/>
                    <pic:cNvPicPr/>
                  </pic:nvPicPr>
                  <pic:blipFill>
                    <a:blip r:embed="rId15"/>
                    <a:stretch>
                      <a:fillRect/>
                    </a:stretch>
                  </pic:blipFill>
                  <pic:spPr>
                    <a:xfrm>
                      <a:off x="0" y="0"/>
                      <a:ext cx="5943600" cy="1468026"/>
                    </a:xfrm>
                    <a:prstGeom prst="rect"/>
                  </pic:spPr>
                </pic:pic>
              </a:graphicData>
            </a:graphic>
          </wp:inline>
        </w:drawing>
      </w:r>
      <w:r>
        <w:rPr>
          <w:b/>
          <w:sz w:val="18"/>
        </w:rPr>
        <w:t xml:space="preserve">  Figura 2.</w:t>
      </w:r>
      <w:r>
        <w:rPr>
          <w:sz w:val="18"/>
        </w:rPr>
        <w:t xml:space="preserve">  Gráfica de gap y overlaps en los datos de la estación ARGC en sus tres componentes.</w:t>
        <w:br/>
        <w:br/>
      </w:r>
      <w:r>
        <w:rPr>
          <w:b/>
          <w:sz w:val="24"/>
        </w:rPr>
        <w:t>2. Calidad</w:t>
        <w:br/>
        <w:br/>
      </w:r>
      <w:r>
        <w:t xml:space="preserve"> </w:t>
        <w:br/>
        <w:br/>
      </w:r>
      <w:r>
        <w:rPr>
          <w:b/>
          <w:sz w:val="24"/>
        </w:rPr>
        <w:t>2.1 Offset</w:t>
        <w:br/>
        <w:br/>
      </w:r>
      <w:r>
        <w:t xml:space="preserve"> </w:t>
        <w:br/>
        <w:br/>
      </w:r>
      <w:r>
        <w:rPr>
          <w:b/>
        </w:rPr>
        <w:t>Comportamiento de offset en el semestre para las tres componentes</w:t>
        <w:br/>
        <w:br/>
      </w:r>
      <w:r>
        <w:t>Z    |    mínimo: 1488.1,    máximo: 304909.7,    promedio: 32981.64</w:t>
        <w:br/>
      </w:r>
      <w:r>
        <w:t>N    |    mínimo: -461.5,    máximo: 39944.5,    promedio: 1252.58</w:t>
        <w:br/>
      </w:r>
      <w:r>
        <w:t>E    |    mínimo: -15942.4,    máximo: 19976.0,    promedio: 1892.43</w:t>
        <w:br/>
        <w:br/>
      </w:r>
      <w:r>
        <w:br/>
        <w:drawing>
          <wp:inline xmlns:a="http://schemas.openxmlformats.org/drawingml/2006/main" xmlns:pic="http://schemas.openxmlformats.org/drawingml/2006/picture">
            <wp:extent cx="5943600" cy="1473936"/>
            <wp:docPr id="7" name="Picture 7"/>
            <wp:cNvGraphicFramePr>
              <a:graphicFrameLocks noChangeAspect="1"/>
            </wp:cNvGraphicFramePr>
            <a:graphic>
              <a:graphicData uri="http://schemas.openxmlformats.org/drawingml/2006/picture">
                <pic:pic>
                  <pic:nvPicPr>
                    <pic:cNvPr id="0" name="offset_ARGC_HLZ.png"/>
                    <pic:cNvPicPr/>
                  </pic:nvPicPr>
                  <pic:blipFill>
                    <a:blip r:embed="rId16"/>
                    <a:stretch>
                      <a:fillRect/>
                    </a:stretch>
                  </pic:blipFill>
                  <pic:spPr>
                    <a:xfrm>
                      <a:off x="0" y="0"/>
                      <a:ext cx="5943600" cy="1473936"/>
                    </a:xfrm>
                    <a:prstGeom prst="rect"/>
                  </pic:spPr>
                </pic:pic>
              </a:graphicData>
            </a:graphic>
          </wp:inline>
        </w:drawing>
        <w:drawing>
          <wp:inline xmlns:a="http://schemas.openxmlformats.org/drawingml/2006/main" xmlns:pic="http://schemas.openxmlformats.org/drawingml/2006/picture">
            <wp:extent cx="5943600" cy="1452880"/>
            <wp:docPr id="8" name="Picture 8"/>
            <wp:cNvGraphicFramePr>
              <a:graphicFrameLocks noChangeAspect="1"/>
            </wp:cNvGraphicFramePr>
            <a:graphic>
              <a:graphicData uri="http://schemas.openxmlformats.org/drawingml/2006/picture">
                <pic:pic>
                  <pic:nvPicPr>
                    <pic:cNvPr id="0" name="offset_ARGC_HLN.png"/>
                    <pic:cNvPicPr/>
                  </pic:nvPicPr>
                  <pic:blipFill>
                    <a:blip r:embed="rId17"/>
                    <a:stretch>
                      <a:fillRect/>
                    </a:stretch>
                  </pic:blipFill>
                  <pic:spPr>
                    <a:xfrm>
                      <a:off x="0" y="0"/>
                      <a:ext cx="5943600" cy="1452880"/>
                    </a:xfrm>
                    <a:prstGeom prst="rect"/>
                  </pic:spPr>
                </pic:pic>
              </a:graphicData>
            </a:graphic>
          </wp:inline>
        </w:drawing>
        <w:drawing>
          <wp:inline xmlns:a="http://schemas.openxmlformats.org/drawingml/2006/main" xmlns:pic="http://schemas.openxmlformats.org/drawingml/2006/picture">
            <wp:extent cx="5943600" cy="1439174"/>
            <wp:docPr id="9" name="Picture 9"/>
            <wp:cNvGraphicFramePr>
              <a:graphicFrameLocks noChangeAspect="1"/>
            </wp:cNvGraphicFramePr>
            <a:graphic>
              <a:graphicData uri="http://schemas.openxmlformats.org/drawingml/2006/picture">
                <pic:pic>
                  <pic:nvPicPr>
                    <pic:cNvPr id="0" name="offset_ARGC_HLE.png"/>
                    <pic:cNvPicPr/>
                  </pic:nvPicPr>
                  <pic:blipFill>
                    <a:blip r:embed="rId18"/>
                    <a:stretch>
                      <a:fillRect/>
                    </a:stretch>
                  </pic:blipFill>
                  <pic:spPr>
                    <a:xfrm>
                      <a:off x="0" y="0"/>
                      <a:ext cx="5943600" cy="1439174"/>
                    </a:xfrm>
                    <a:prstGeom prst="rect"/>
                  </pic:spPr>
                </pic:pic>
              </a:graphicData>
            </a:graphic>
          </wp:inline>
        </w:drawing>
        <w:br/>
      </w:r>
      <w:r>
        <w:rPr>
          <w:b/>
          <w:sz w:val="18"/>
        </w:rPr>
        <w:t xml:space="preserve">  Figura 3.</w:t>
      </w:r>
      <w:r>
        <w:rPr>
          <w:sz w:val="18"/>
        </w:rPr>
        <w:t xml:space="preserve">  Gráfica de offset en los datos de la estación ARGC en sus tres componentes.</w:t>
        <w:br/>
        <w:br/>
      </w:r>
      <w:r>
        <w:rPr>
          <w:b/>
          <w:sz w:val="24"/>
        </w:rPr>
        <w:t>2.2 Análisis de ruido</w:t>
        <w:br/>
        <w:br/>
      </w:r>
      <w:r>
        <w:rPr>
          <w:b/>
          <w:sz w:val="24"/>
        </w:rPr>
        <w:t>Porcentaje fuera de las curvas de Peterson de la media del espectro probabilístico de densidad de potencia (%PPSD) y picos</w:t>
        <w:br/>
        <w:br/>
      </w:r>
      <w:r>
        <w:t>El %ppsd es el porcentaje de cuánto de la media del espectro de ruido de la estación se encuentra por fuera de las curvas de Peterson, Para las estaciones de movimiento fuerte este %ppsd se espera que esté alrededor del 30% - 40% y esto nos dirá que las frecuencias registradas se encuentran dentro de lo normal o no.</w:t>
        <w:br/>
        <w:br/>
      </w:r>
      <w:r>
        <w:rPr>
          <w:b/>
        </w:rPr>
        <w:t>Comportamiento del %ppsd y picos en el semestre para las tres componentes.</w:t>
        <w:br/>
        <w:br/>
      </w:r>
      <w:r>
        <w:t>Z    |    promedio %ppsd: 29.0,    número de picos: 189,    máximo de picos: 8</w:t>
        <w:br/>
      </w:r>
      <w:r>
        <w:t>N    |    promedio %ppsd: 23.95,    número de picos: 136,    máximo de picos: 7</w:t>
        <w:br/>
      </w:r>
      <w:r>
        <w:t>E    |    promedio %ppsd: 52.22,    número de picos: 584,    máximo de picos: 14</w:t>
        <w:br/>
        <w:br/>
      </w:r>
      <w:r>
        <w:drawing>
          <wp:inline xmlns:a="http://schemas.openxmlformats.org/drawingml/2006/main" xmlns:pic="http://schemas.openxmlformats.org/drawingml/2006/picture">
            <wp:extent cx="5943600" cy="1409260"/>
            <wp:docPr id="10" name="Picture 10"/>
            <wp:cNvGraphicFramePr>
              <a:graphicFrameLocks noChangeAspect="1"/>
            </wp:cNvGraphicFramePr>
            <a:graphic>
              <a:graphicData uri="http://schemas.openxmlformats.org/drawingml/2006/picture">
                <pic:pic>
                  <pic:nvPicPr>
                    <pic:cNvPr id="0" name="ppsd_ARGC_HLZ.png"/>
                    <pic:cNvPicPr/>
                  </pic:nvPicPr>
                  <pic:blipFill>
                    <a:blip r:embed="rId19"/>
                    <a:stretch>
                      <a:fillRect/>
                    </a:stretch>
                  </pic:blipFill>
                  <pic:spPr>
                    <a:xfrm>
                      <a:off x="0" y="0"/>
                      <a:ext cx="5943600" cy="1409260"/>
                    </a:xfrm>
                    <a:prstGeom prst="rect"/>
                  </pic:spPr>
                </pic:pic>
              </a:graphicData>
            </a:graphic>
          </wp:inline>
        </w:drawing>
        <w:drawing>
          <wp:inline xmlns:a="http://schemas.openxmlformats.org/drawingml/2006/main" xmlns:pic="http://schemas.openxmlformats.org/drawingml/2006/picture">
            <wp:extent cx="5943600" cy="1409260"/>
            <wp:docPr id="11" name="Picture 11"/>
            <wp:cNvGraphicFramePr>
              <a:graphicFrameLocks noChangeAspect="1"/>
            </wp:cNvGraphicFramePr>
            <a:graphic>
              <a:graphicData uri="http://schemas.openxmlformats.org/drawingml/2006/picture">
                <pic:pic>
                  <pic:nvPicPr>
                    <pic:cNvPr id="0" name="ppsd_ARGC_HLN.png"/>
                    <pic:cNvPicPr/>
                  </pic:nvPicPr>
                  <pic:blipFill>
                    <a:blip r:embed="rId20"/>
                    <a:stretch>
                      <a:fillRect/>
                    </a:stretch>
                  </pic:blipFill>
                  <pic:spPr>
                    <a:xfrm>
                      <a:off x="0" y="0"/>
                      <a:ext cx="5943600" cy="1409260"/>
                    </a:xfrm>
                    <a:prstGeom prst="rect"/>
                  </pic:spPr>
                </pic:pic>
              </a:graphicData>
            </a:graphic>
          </wp:inline>
        </w:drawing>
        <w:drawing>
          <wp:inline xmlns:a="http://schemas.openxmlformats.org/drawingml/2006/main" xmlns:pic="http://schemas.openxmlformats.org/drawingml/2006/picture">
            <wp:extent cx="5943600" cy="1389999"/>
            <wp:docPr id="12" name="Picture 12"/>
            <wp:cNvGraphicFramePr>
              <a:graphicFrameLocks noChangeAspect="1"/>
            </wp:cNvGraphicFramePr>
            <a:graphic>
              <a:graphicData uri="http://schemas.openxmlformats.org/drawingml/2006/picture">
                <pic:pic>
                  <pic:nvPicPr>
                    <pic:cNvPr id="0" name="ppsd_ARGC_HLE.png"/>
                    <pic:cNvPicPr/>
                  </pic:nvPicPr>
                  <pic:blipFill>
                    <a:blip r:embed="rId21"/>
                    <a:stretch>
                      <a:fillRect/>
                    </a:stretch>
                  </pic:blipFill>
                  <pic:spPr>
                    <a:xfrm>
                      <a:off x="0" y="0"/>
                      <a:ext cx="5943600" cy="1389999"/>
                    </a:xfrm>
                    <a:prstGeom prst="rect"/>
                  </pic:spPr>
                </pic:pic>
              </a:graphicData>
            </a:graphic>
          </wp:inline>
        </w:drawing>
      </w:r>
      <w:r>
        <w:rPr>
          <w:b/>
          <w:sz w:val="18"/>
        </w:rPr>
        <w:t xml:space="preserve">  Figura 4.</w:t>
      </w:r>
      <w:r>
        <w:rPr>
          <w:sz w:val="18"/>
        </w:rPr>
        <w:t xml:space="preserve"> Gráfica de %ppsd y picos en los datos de la estación ARGC en sus tres componentes.</w:t>
        <w:br/>
        <w:br/>
      </w:r>
      <w:r>
        <w:rPr>
          <w:b/>
          <w:sz w:val="24"/>
        </w:rPr>
        <w:t>Espectro</w:t>
        <w:br/>
        <w:br/>
      </w:r>
      <w:r>
        <w:t xml:space="preserve"> </w:t>
        <w:br/>
        <w:br/>
        <w:br/>
        <w:br/>
      </w:r>
      <w:r>
        <w:rPr>
          <w:b/>
          <w:sz w:val="24"/>
        </w:rPr>
        <w:br/>
        <w:t>3. Última visita</w:t>
        <w:br/>
        <w:br/>
      </w:r>
      <w:r>
        <w:t>La última visita a la estación fue el 2022-05-10 por Robert Prada realizando  mantenimiento preventivo, se cambió terminal tipo n del cable de transmisión del lado del buc, se cortó la maleza del interior del encerramiento de la estación.</w:t>
        <w:br/>
        <w:br/>
        <w:br/>
        <w:br/>
        <w:br/>
        <w:br/>
        <w:br/>
        <w:br/>
      </w:r>
      <w:r>
        <w:rPr>
          <w:b/>
          <w:sz w:val="24"/>
        </w:rPr>
        <w:t>4. Recomendaciones</w:t>
        <w:br/>
        <w:br/>
      </w:r>
      <w:r>
        <w:t xml:space="preserve"> </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movimiento fuerte ARGC | Semestre 2023-II</w:t>
          </w:r>
        </w:p>
      </w:tc>
      <w:tc>
        <w:tcPr>
          <w:tcW w:type="dxa" w:w="3402"/>
        </w:tcPr>
        <w:p/>
        <w:p>
          <w:r>
            <w:t xml:space="preserve">Sismología </w:t>
            <w:br/>
            <w:t>Por: Angel Daniel Agudelo</w:t>
            <w:br/>
            <w:t>Fecha: 2024/02/20</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